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color w:val="auto"/>
        </w:rPr>
      </w:pPr>
      <w:r>
        <w:rPr>
          <w:rFonts w:hint="eastAsia" w:ascii="Times New Roman" w:hAnsi="Times New Roman" w:eastAsia="方正黑体_GBK"/>
          <w:color w:val="auto"/>
          <w:sz w:val="33"/>
          <w:szCs w:val="33"/>
        </w:rPr>
        <w:t>附件</w:t>
      </w:r>
    </w:p>
    <w:p>
      <w:pPr>
        <w:spacing w:line="400" w:lineRule="exact"/>
        <w:rPr>
          <w:rFonts w:ascii="Times New Roman" w:hAnsi="Times New Roman" w:eastAsia="方正小标宋_GBK"/>
          <w:color w:val="auto"/>
          <w:sz w:val="44"/>
          <w:szCs w:val="44"/>
        </w:rPr>
      </w:pPr>
    </w:p>
    <w:p>
      <w:pPr>
        <w:widowControl/>
        <w:spacing w:line="7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广安市红色资源保护传承条例（草案）</w:t>
      </w:r>
    </w:p>
    <w:p>
      <w:pPr>
        <w:spacing w:line="590" w:lineRule="exact"/>
        <w:jc w:val="center"/>
        <w:rPr>
          <w:rFonts w:hint="eastAsia" w:ascii="方正小标宋_GBK" w:hAnsi="方正小标宋_GBK" w:eastAsia="方正小标宋_GBK" w:cs="方正小标宋_GBK"/>
          <w:color w:val="auto"/>
          <w:sz w:val="44"/>
          <w:szCs w:val="44"/>
        </w:rPr>
      </w:pPr>
      <w:r>
        <w:rPr>
          <w:rFonts w:hint="eastAsia" w:ascii="Times New Roman" w:hAnsi="Times New Roman" w:eastAsia="方正小标宋_GBK"/>
          <w:sz w:val="44"/>
          <w:szCs w:val="44"/>
        </w:rPr>
        <w:t>（</w:t>
      </w:r>
      <w:r>
        <w:rPr>
          <w:rFonts w:hint="eastAsia" w:eastAsia="方正小标宋_GBK"/>
          <w:sz w:val="44"/>
          <w:szCs w:val="44"/>
          <w:lang w:eastAsia="zh-CN"/>
        </w:rPr>
        <w:t>征求</w:t>
      </w:r>
      <w:r>
        <w:rPr>
          <w:rFonts w:hint="eastAsia" w:ascii="Times New Roman" w:hAnsi="Times New Roman" w:eastAsia="方正小标宋_GBK"/>
          <w:sz w:val="44"/>
          <w:szCs w:val="44"/>
        </w:rPr>
        <w:t>意见稿）</w:t>
      </w:r>
    </w:p>
    <w:p>
      <w:pPr>
        <w:keepNext/>
        <w:keepLines/>
        <w:widowControl/>
        <w:spacing w:line="590" w:lineRule="exact"/>
        <w:ind w:firstLine="640"/>
        <w:jc w:val="center"/>
        <w:rPr>
          <w:rFonts w:hint="eastAsia" w:ascii="方正小标宋_GBK" w:hAnsi="方正小标宋_GBK" w:eastAsia="方正小标宋_GBK" w:cs="方正小标宋_GBK"/>
          <w:color w:val="auto"/>
          <w:sz w:val="44"/>
          <w:szCs w:val="44"/>
          <w:lang w:val="zh-CN"/>
        </w:rPr>
      </w:pPr>
    </w:p>
    <w:p>
      <w:pPr>
        <w:pStyle w:val="10"/>
        <w:jc w:val="center"/>
        <w:rPr>
          <w:rFonts w:hint="eastAsia"/>
          <w:lang w:val="zh-CN"/>
        </w:rPr>
      </w:pPr>
    </w:p>
    <w:p>
      <w:pPr>
        <w:keepNext/>
        <w:keepLines/>
        <w:widowControl/>
        <w:spacing w:line="59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zh-CN"/>
        </w:rPr>
        <w:t>目</w:t>
      </w:r>
      <w:r>
        <w:rPr>
          <w:rFonts w:hint="eastAsia" w:ascii="方正小标宋_GBK" w:hAnsi="方正小标宋_GBK" w:eastAsia="方正小标宋_GBK" w:cs="方正小标宋_GBK"/>
          <w:color w:val="auto"/>
          <w:sz w:val="44"/>
          <w:szCs w:val="44"/>
        </w:rPr>
        <w:t xml:space="preserve">   </w:t>
      </w:r>
      <w:r>
        <w:rPr>
          <w:rFonts w:hint="eastAsia" w:ascii="方正小标宋_GBK" w:hAnsi="方正小标宋_GBK" w:eastAsia="方正小标宋_GBK" w:cs="方正小标宋_GBK"/>
          <w:color w:val="auto"/>
          <w:sz w:val="44"/>
          <w:szCs w:val="44"/>
          <w:lang w:val="zh-CN"/>
        </w:rPr>
        <w:t>录</w:t>
      </w:r>
    </w:p>
    <w:p>
      <w:pPr>
        <w:tabs>
          <w:tab w:val="right" w:leader="dot" w:pos="8844"/>
        </w:tabs>
        <w:spacing w:line="590" w:lineRule="exact"/>
        <w:rPr>
          <w:rFonts w:ascii="方正黑体_GBK" w:hAnsi="方正黑体_GBK" w:eastAsia="方正黑体_GBK" w:cs="方正黑体_GBK"/>
          <w:color w:val="auto"/>
          <w:sz w:val="33"/>
          <w:szCs w:val="33"/>
        </w:rPr>
      </w:pPr>
    </w:p>
    <w:p>
      <w:pPr>
        <w:tabs>
          <w:tab w:val="right" w:leader="dot" w:pos="8844"/>
        </w:tabs>
        <w:spacing w:line="590" w:lineRule="exact"/>
        <w:ind w:firstLine="680" w:firstLineChars="200"/>
        <w:rPr>
          <w:rFonts w:ascii="方正黑体_GBK" w:hAnsi="方正黑体_GBK" w:eastAsia="方正黑体_GBK" w:cs="方正黑体_GBK"/>
          <w:color w:val="auto"/>
          <w:sz w:val="33"/>
          <w:szCs w:val="33"/>
        </w:rPr>
      </w:pPr>
      <w:r>
        <w:rPr>
          <w:rFonts w:hint="eastAsia" w:ascii="方正黑体_GBK" w:hAnsi="方正黑体_GBK" w:eastAsia="方正黑体_GBK" w:cs="方正黑体_GBK"/>
          <w:color w:val="auto"/>
          <w:sz w:val="33"/>
          <w:szCs w:val="33"/>
        </w:rPr>
        <w:t>第一章 总则</w:t>
      </w:r>
    </w:p>
    <w:p>
      <w:pPr>
        <w:spacing w:line="590" w:lineRule="exact"/>
        <w:ind w:firstLine="680" w:firstLineChars="200"/>
        <w:rPr>
          <w:rFonts w:ascii="方正黑体_GBK" w:hAnsi="方正黑体_GBK" w:eastAsia="方正黑体_GBK" w:cs="方正黑体_GBK"/>
          <w:color w:val="auto"/>
          <w:sz w:val="33"/>
          <w:szCs w:val="33"/>
        </w:rPr>
      </w:pPr>
      <w:r>
        <w:rPr>
          <w:rFonts w:hint="eastAsia" w:ascii="方正黑体_GBK" w:hAnsi="方正黑体_GBK" w:eastAsia="方正黑体_GBK" w:cs="方正黑体_GBK"/>
          <w:color w:val="auto"/>
          <w:sz w:val="33"/>
          <w:szCs w:val="33"/>
        </w:rPr>
        <w:t xml:space="preserve">第二章 </w:t>
      </w:r>
      <w:r>
        <w:rPr>
          <w:rFonts w:hint="eastAsia" w:ascii="方正黑体_GBK" w:hAnsi="方正黑体_GBK" w:eastAsia="方正黑体_GBK" w:cs="方正黑体_GBK"/>
          <w:color w:val="auto"/>
          <w:sz w:val="33"/>
          <w:szCs w:val="33"/>
          <w:lang w:eastAsia="zh-CN"/>
        </w:rPr>
        <w:t>调查</w:t>
      </w:r>
      <w:r>
        <w:rPr>
          <w:rFonts w:hint="eastAsia" w:ascii="方正黑体_GBK" w:hAnsi="方正黑体_GBK" w:eastAsia="方正黑体_GBK" w:cs="方正黑体_GBK"/>
          <w:color w:val="auto"/>
          <w:sz w:val="33"/>
          <w:szCs w:val="33"/>
        </w:rPr>
        <w:t>认定</w:t>
      </w:r>
    </w:p>
    <w:p>
      <w:pPr>
        <w:spacing w:line="590" w:lineRule="exact"/>
        <w:ind w:firstLine="680" w:firstLineChars="200"/>
        <w:rPr>
          <w:rFonts w:ascii="方正黑体_GBK" w:hAnsi="方正黑体_GBK" w:eastAsia="方正黑体_GBK" w:cs="方正黑体_GBK"/>
          <w:color w:val="auto"/>
          <w:sz w:val="33"/>
          <w:szCs w:val="33"/>
          <w:lang w:val="en"/>
        </w:rPr>
      </w:pPr>
      <w:r>
        <w:rPr>
          <w:rFonts w:hint="eastAsia" w:ascii="方正黑体_GBK" w:hAnsi="方正黑体_GBK" w:eastAsia="方正黑体_GBK" w:cs="方正黑体_GBK"/>
          <w:color w:val="auto"/>
          <w:sz w:val="33"/>
          <w:szCs w:val="33"/>
        </w:rPr>
        <w:t>第三章 保护</w:t>
      </w:r>
      <w:r>
        <w:rPr>
          <w:rFonts w:ascii="方正黑体_GBK" w:hAnsi="方正黑体_GBK" w:eastAsia="方正黑体_GBK" w:cs="方正黑体_GBK"/>
          <w:color w:val="auto"/>
          <w:sz w:val="33"/>
          <w:szCs w:val="33"/>
          <w:lang w:val="en"/>
        </w:rPr>
        <w:t>管理</w:t>
      </w:r>
    </w:p>
    <w:p>
      <w:pPr>
        <w:spacing w:line="590" w:lineRule="exact"/>
        <w:ind w:firstLine="680" w:firstLineChars="200"/>
        <w:rPr>
          <w:rFonts w:ascii="方正黑体_GBK" w:hAnsi="方正黑体_GBK" w:eastAsia="方正黑体_GBK" w:cs="方正黑体_GBK"/>
          <w:color w:val="auto"/>
          <w:sz w:val="33"/>
          <w:szCs w:val="33"/>
        </w:rPr>
      </w:pPr>
      <w:r>
        <w:rPr>
          <w:rFonts w:hint="eastAsia" w:ascii="方正黑体_GBK" w:hAnsi="方正黑体_GBK" w:eastAsia="方正黑体_GBK" w:cs="方正黑体_GBK"/>
          <w:color w:val="auto"/>
          <w:sz w:val="33"/>
          <w:szCs w:val="33"/>
        </w:rPr>
        <w:t>第四章 传承弘扬</w:t>
      </w:r>
    </w:p>
    <w:p>
      <w:pPr>
        <w:spacing w:line="590" w:lineRule="exact"/>
        <w:ind w:firstLine="680" w:firstLineChars="200"/>
        <w:rPr>
          <w:rFonts w:ascii="方正黑体_GBK" w:hAnsi="方正黑体_GBK" w:eastAsia="方正黑体_GBK" w:cs="方正黑体_GBK"/>
          <w:color w:val="auto"/>
          <w:sz w:val="33"/>
          <w:szCs w:val="33"/>
        </w:rPr>
      </w:pPr>
      <w:r>
        <w:rPr>
          <w:rFonts w:hint="eastAsia" w:ascii="方正黑体_GBK" w:hAnsi="方正黑体_GBK" w:eastAsia="方正黑体_GBK" w:cs="方正黑体_GBK"/>
          <w:color w:val="auto"/>
          <w:sz w:val="33"/>
          <w:szCs w:val="33"/>
        </w:rPr>
        <w:t>第五章 法律责任</w:t>
      </w:r>
    </w:p>
    <w:p>
      <w:pPr>
        <w:spacing w:line="590" w:lineRule="exact"/>
        <w:ind w:firstLine="680" w:firstLineChars="200"/>
        <w:rPr>
          <w:rFonts w:ascii="方正黑体_GBK" w:hAnsi="方正黑体_GBK" w:eastAsia="方正黑体_GBK" w:cs="方正黑体_GBK"/>
          <w:color w:val="auto"/>
          <w:sz w:val="33"/>
          <w:szCs w:val="33"/>
        </w:rPr>
      </w:pPr>
      <w:r>
        <w:rPr>
          <w:rFonts w:hint="eastAsia" w:ascii="方正黑体_GBK" w:hAnsi="方正黑体_GBK" w:eastAsia="方正黑体_GBK" w:cs="方正黑体_GBK"/>
          <w:color w:val="auto"/>
          <w:sz w:val="33"/>
          <w:szCs w:val="33"/>
        </w:rPr>
        <w:t>第六章 附则</w:t>
      </w:r>
    </w:p>
    <w:p>
      <w:pPr>
        <w:spacing w:line="590" w:lineRule="exact"/>
        <w:ind w:firstLine="680" w:firstLineChars="200"/>
        <w:rPr>
          <w:color w:val="auto"/>
          <w:sz w:val="33"/>
          <w:szCs w:val="33"/>
        </w:rPr>
      </w:pPr>
    </w:p>
    <w:p>
      <w:pPr>
        <w:overflowPunct w:val="0"/>
        <w:autoSpaceDE w:val="0"/>
        <w:autoSpaceDN w:val="0"/>
        <w:adjustRightInd w:val="0"/>
        <w:snapToGrid w:val="0"/>
        <w:spacing w:line="590" w:lineRule="exact"/>
        <w:ind w:firstLine="660"/>
        <w:jc w:val="center"/>
        <w:outlineLvl w:val="0"/>
        <w:rPr>
          <w:rFonts w:ascii="方正黑体_GBK" w:hAnsi="方正黑体_GBK" w:eastAsia="方正黑体_GBK" w:cs="方正黑体_GBK"/>
          <w:color w:val="auto"/>
          <w:kern w:val="44"/>
          <w:sz w:val="33"/>
          <w:szCs w:val="33"/>
        </w:rPr>
      </w:pPr>
      <w:r>
        <w:rPr>
          <w:rFonts w:hint="eastAsia" w:ascii="方正黑体_GBK" w:hAnsi="方正黑体_GBK" w:eastAsia="方正黑体_GBK" w:cs="方正黑体_GBK"/>
          <w:color w:val="auto"/>
          <w:kern w:val="44"/>
          <w:sz w:val="33"/>
          <w:szCs w:val="33"/>
        </w:rPr>
        <w:t>第一章 总</w:t>
      </w:r>
      <w:r>
        <w:rPr>
          <w:rFonts w:hint="eastAsia" w:ascii="方正黑体_GBK" w:hAnsi="方正黑体_GBK" w:eastAsia="方正黑体_GBK" w:cs="方正黑体_GBK"/>
          <w:color w:val="auto"/>
          <w:kern w:val="44"/>
          <w:sz w:val="33"/>
          <w:szCs w:val="33"/>
          <w:lang w:val="en-US" w:eastAsia="zh-CN"/>
        </w:rPr>
        <w:t xml:space="preserve">   </w:t>
      </w:r>
      <w:r>
        <w:rPr>
          <w:rFonts w:hint="eastAsia" w:ascii="方正黑体_GBK" w:hAnsi="方正黑体_GBK" w:eastAsia="方正黑体_GBK" w:cs="方正黑体_GBK"/>
          <w:color w:val="auto"/>
          <w:kern w:val="44"/>
          <w:sz w:val="33"/>
          <w:szCs w:val="33"/>
        </w:rPr>
        <w:t>则</w:t>
      </w:r>
    </w:p>
    <w:p>
      <w:pPr>
        <w:overflowPunct w:val="0"/>
        <w:autoSpaceDE w:val="0"/>
        <w:autoSpaceDN w:val="0"/>
        <w:adjustRightInd w:val="0"/>
        <w:snapToGrid w:val="0"/>
        <w:spacing w:line="590" w:lineRule="exact"/>
        <w:ind w:firstLine="680" w:firstLineChars="200"/>
        <w:outlineLvl w:val="1"/>
        <w:rPr>
          <w:rFonts w:eastAsia="方正仿宋_GBK" w:cs="方正仿宋_GBK"/>
          <w:color w:val="auto"/>
          <w:sz w:val="33"/>
          <w:szCs w:val="33"/>
        </w:rPr>
      </w:pPr>
      <w:bookmarkStart w:id="0" w:name="_Toc162253092"/>
    </w:p>
    <w:p>
      <w:pPr>
        <w:overflowPunct w:val="0"/>
        <w:autoSpaceDE w:val="0"/>
        <w:autoSpaceDN w:val="0"/>
        <w:adjustRightInd w:val="0"/>
        <w:snapToGrid w:val="0"/>
        <w:spacing w:line="590" w:lineRule="exact"/>
        <w:ind w:firstLine="680" w:firstLineChars="200"/>
        <w:outlineLvl w:val="1"/>
        <w:rPr>
          <w:rFonts w:ascii="方正楷体_GBK" w:hAnsi="方正楷体_GBK" w:eastAsia="方正楷体_GBK" w:cs="方正楷体_GBK"/>
          <w:b/>
          <w:bCs/>
          <w:color w:val="auto"/>
          <w:sz w:val="33"/>
          <w:szCs w:val="33"/>
        </w:rPr>
      </w:pPr>
      <w:bookmarkStart w:id="1" w:name="_Toc27838"/>
      <w:bookmarkStart w:id="2" w:name="_Toc31194"/>
      <w:r>
        <w:rPr>
          <w:rFonts w:hint="eastAsia" w:ascii="方正楷体_GBK" w:hAnsi="方正楷体_GBK" w:eastAsia="方正楷体_GBK" w:cs="方正楷体_GBK"/>
          <w:b/>
          <w:bCs/>
          <w:color w:val="auto"/>
          <w:sz w:val="33"/>
          <w:szCs w:val="33"/>
        </w:rPr>
        <w:t>第一条【目的依据】</w:t>
      </w:r>
      <w:bookmarkEnd w:id="0"/>
      <w:bookmarkEnd w:id="1"/>
      <w:bookmarkEnd w:id="2"/>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为了加强红色资源保护利用，传承红色基因，弘扬红色文化，培育和践行社会主义核心价值观，根据《中华人民共和国文物保护法》《中华人民共和国英雄烈士保护法》《四川省红色资源保护传承条例》等法律、法规，结合广安市实际，制定本条例。</w:t>
      </w:r>
      <w:bookmarkStart w:id="78" w:name="_GoBack"/>
      <w:bookmarkEnd w:id="78"/>
    </w:p>
    <w:p>
      <w:pPr>
        <w:overflowPunct w:val="0"/>
        <w:autoSpaceDE w:val="0"/>
        <w:autoSpaceDN w:val="0"/>
        <w:adjustRightInd w:val="0"/>
        <w:snapToGrid w:val="0"/>
        <w:spacing w:line="590" w:lineRule="exact"/>
        <w:ind w:firstLine="680" w:firstLineChars="200"/>
        <w:outlineLvl w:val="1"/>
        <w:rPr>
          <w:rFonts w:hint="eastAsia" w:ascii="方正楷体_GBK" w:hAnsi="方正楷体_GBK" w:eastAsia="方正楷体_GBK" w:cs="方正楷体_GBK"/>
          <w:b/>
          <w:bCs/>
          <w:color w:val="auto"/>
          <w:sz w:val="33"/>
          <w:szCs w:val="33"/>
        </w:rPr>
      </w:pPr>
      <w:bookmarkStart w:id="3" w:name="_Toc21157"/>
      <w:bookmarkStart w:id="4" w:name="_Toc25083"/>
      <w:bookmarkStart w:id="5" w:name="_Toc162253093"/>
      <w:r>
        <w:rPr>
          <w:rFonts w:hint="eastAsia" w:ascii="方正楷体_GBK" w:hAnsi="方正楷体_GBK" w:eastAsia="方正楷体_GBK" w:cs="方正楷体_GBK"/>
          <w:b/>
          <w:bCs/>
          <w:color w:val="auto"/>
          <w:sz w:val="33"/>
          <w:szCs w:val="33"/>
        </w:rPr>
        <w:t>第二条【适用范围】</w:t>
      </w:r>
      <w:bookmarkEnd w:id="3"/>
      <w:bookmarkEnd w:id="4"/>
      <w:bookmarkEnd w:id="5"/>
    </w:p>
    <w:p>
      <w:pPr>
        <w:overflowPunct w:val="0"/>
        <w:autoSpaceDE w:val="0"/>
        <w:autoSpaceDN w:val="0"/>
        <w:adjustRightInd w:val="0"/>
        <w:snapToGrid w:val="0"/>
        <w:spacing w:line="590" w:lineRule="exact"/>
        <w:ind w:firstLine="680" w:firstLineChars="200"/>
        <w:outlineLvl w:val="1"/>
        <w:rPr>
          <w:rFonts w:eastAsia="方正仿宋_GBK" w:cs="方正仿宋_GBK"/>
          <w:color w:val="auto"/>
          <w:sz w:val="33"/>
          <w:szCs w:val="33"/>
        </w:rPr>
      </w:pPr>
      <w:r>
        <w:rPr>
          <w:rFonts w:hint="eastAsia" w:eastAsia="方正仿宋_GBK" w:cs="方正仿宋_GBK"/>
          <w:color w:val="auto"/>
          <w:sz w:val="33"/>
          <w:szCs w:val="33"/>
        </w:rPr>
        <w:t>广安市行政区域内红色资源的调查认定、保护管理、传承弘扬及其合作协作，适用本条例。</w:t>
      </w:r>
    </w:p>
    <w:p>
      <w:pPr>
        <w:overflowPunct w:val="0"/>
        <w:autoSpaceDE w:val="0"/>
        <w:autoSpaceDN w:val="0"/>
        <w:adjustRightInd w:val="0"/>
        <w:snapToGrid w:val="0"/>
        <w:spacing w:line="590" w:lineRule="exact"/>
        <w:ind w:firstLine="680" w:firstLineChars="200"/>
        <w:outlineLvl w:val="1"/>
        <w:rPr>
          <w:rFonts w:hint="eastAsia"/>
          <w:color w:val="auto"/>
        </w:rPr>
      </w:pPr>
      <w:r>
        <w:rPr>
          <w:rFonts w:hint="eastAsia" w:eastAsia="方正仿宋_GBK" w:cs="方正仿宋_GBK"/>
          <w:color w:val="auto"/>
          <w:sz w:val="33"/>
          <w:szCs w:val="33"/>
        </w:rPr>
        <w:t>法律、法规对红色资源中涉及的文物保护、英雄烈士保护、历史文化街区和历史建筑保护以及档案管理等</w:t>
      </w:r>
      <w:r>
        <w:rPr>
          <w:rFonts w:hint="eastAsia" w:eastAsia="方正仿宋_GBK" w:cs="方正仿宋_GBK"/>
          <w:color w:val="auto"/>
          <w:sz w:val="33"/>
          <w:szCs w:val="33"/>
          <w:lang w:val="en-US" w:eastAsia="zh-CN"/>
        </w:rPr>
        <w:t>另</w:t>
      </w:r>
      <w:r>
        <w:rPr>
          <w:rFonts w:hint="eastAsia" w:eastAsia="方正仿宋_GBK" w:cs="方正仿宋_GBK"/>
          <w:color w:val="auto"/>
          <w:sz w:val="33"/>
          <w:szCs w:val="33"/>
        </w:rPr>
        <w:t>有规定的，从其规定。</w:t>
      </w:r>
    </w:p>
    <w:p>
      <w:pPr>
        <w:overflowPunct w:val="0"/>
        <w:autoSpaceDE w:val="0"/>
        <w:autoSpaceDN w:val="0"/>
        <w:adjustRightInd w:val="0"/>
        <w:snapToGrid w:val="0"/>
        <w:spacing w:line="590" w:lineRule="exact"/>
        <w:ind w:firstLine="680" w:firstLineChars="200"/>
        <w:outlineLvl w:val="1"/>
        <w:rPr>
          <w:rFonts w:hint="eastAsia" w:ascii="方正楷体_GBK" w:hAnsi="方正楷体_GBK" w:eastAsia="方正楷体_GBK" w:cs="方正楷体_GBK"/>
          <w:b/>
          <w:bCs/>
          <w:color w:val="auto"/>
          <w:sz w:val="33"/>
          <w:szCs w:val="33"/>
        </w:rPr>
      </w:pPr>
      <w:r>
        <w:rPr>
          <w:rFonts w:hint="eastAsia" w:ascii="方正楷体_GBK" w:hAnsi="方正楷体_GBK" w:eastAsia="方正楷体_GBK" w:cs="方正楷体_GBK"/>
          <w:b/>
          <w:bCs/>
          <w:color w:val="auto"/>
          <w:sz w:val="33"/>
          <w:szCs w:val="33"/>
        </w:rPr>
        <w:t>第三条【</w:t>
      </w:r>
      <w:r>
        <w:rPr>
          <w:rFonts w:hint="eastAsia" w:ascii="方正楷体_GBK" w:hAnsi="方正楷体_GBK" w:eastAsia="方正楷体_GBK" w:cs="方正楷体_GBK"/>
          <w:b/>
          <w:bCs/>
          <w:color w:val="auto"/>
          <w:sz w:val="33"/>
          <w:szCs w:val="33"/>
          <w:lang w:eastAsia="zh-CN"/>
        </w:rPr>
        <w:t>概念界定</w:t>
      </w:r>
      <w:r>
        <w:rPr>
          <w:rFonts w:hint="eastAsia" w:ascii="方正楷体_GBK" w:hAnsi="方正楷体_GBK" w:eastAsia="方正楷体_GBK" w:cs="方正楷体_GBK"/>
          <w:b/>
          <w:bCs/>
          <w:color w:val="auto"/>
          <w:sz w:val="33"/>
          <w:szCs w:val="33"/>
        </w:rPr>
        <w:t>】</w:t>
      </w:r>
    </w:p>
    <w:p>
      <w:pPr>
        <w:overflowPunct w:val="0"/>
        <w:autoSpaceDE w:val="0"/>
        <w:autoSpaceDN w:val="0"/>
        <w:adjustRightInd w:val="0"/>
        <w:snapToGrid w:val="0"/>
        <w:spacing w:line="590" w:lineRule="exact"/>
        <w:ind w:firstLine="680" w:firstLineChars="200"/>
        <w:outlineLvl w:val="1"/>
        <w:rPr>
          <w:rFonts w:hint="eastAsia" w:eastAsia="方正仿宋_GBK" w:cs="方正仿宋_GBK"/>
          <w:color w:val="auto"/>
          <w:sz w:val="33"/>
          <w:szCs w:val="33"/>
        </w:rPr>
      </w:pPr>
      <w:r>
        <w:rPr>
          <w:rFonts w:hint="eastAsia" w:eastAsia="方正仿宋_GBK" w:cs="方正仿宋_GBK"/>
          <w:color w:val="auto"/>
          <w:sz w:val="33"/>
          <w:szCs w:val="33"/>
        </w:rPr>
        <w:t>本条例所称红色资源，是指五四运动以来，中国共产党领导各族人民在新民主主义革命时期、社会主义革命和建设时期、改革开放和社会主义现代化建设新时期、中国特色社会主义新时代所形成的具有历史价值、纪念意义、教育意义的物质资源和精神资源。</w:t>
      </w:r>
    </w:p>
    <w:p>
      <w:pPr>
        <w:overflowPunct w:val="0"/>
        <w:autoSpaceDE w:val="0"/>
        <w:autoSpaceDN w:val="0"/>
        <w:adjustRightInd w:val="0"/>
        <w:snapToGrid w:val="0"/>
        <w:spacing w:line="590" w:lineRule="exact"/>
        <w:ind w:firstLine="680" w:firstLineChars="200"/>
        <w:outlineLvl w:val="1"/>
        <w:rPr>
          <w:rFonts w:hint="eastAsia" w:ascii="方正楷体_GBK" w:hAnsi="方正楷体_GBK" w:eastAsia="方正楷体_GBK" w:cs="方正楷体_GBK"/>
          <w:b/>
          <w:bCs/>
          <w:color w:val="auto"/>
          <w:sz w:val="33"/>
          <w:szCs w:val="33"/>
        </w:rPr>
      </w:pPr>
      <w:bookmarkStart w:id="6" w:name="_Toc14680"/>
      <w:bookmarkStart w:id="7" w:name="_Toc162253095"/>
      <w:bookmarkStart w:id="8" w:name="_Toc25116"/>
      <w:r>
        <w:rPr>
          <w:rFonts w:hint="eastAsia" w:ascii="方正楷体_GBK" w:hAnsi="方正楷体_GBK" w:eastAsia="方正楷体_GBK" w:cs="方正楷体_GBK"/>
          <w:b/>
          <w:bCs/>
          <w:color w:val="auto"/>
          <w:sz w:val="33"/>
          <w:szCs w:val="33"/>
        </w:rPr>
        <w:t>第</w:t>
      </w:r>
      <w:r>
        <w:rPr>
          <w:rFonts w:hint="eastAsia" w:ascii="方正楷体_GBK" w:hAnsi="方正楷体_GBK" w:eastAsia="方正楷体_GBK" w:cs="方正楷体_GBK"/>
          <w:b/>
          <w:bCs/>
          <w:color w:val="auto"/>
          <w:sz w:val="33"/>
          <w:szCs w:val="33"/>
          <w:lang w:eastAsia="zh-CN"/>
        </w:rPr>
        <w:t>四</w:t>
      </w:r>
      <w:r>
        <w:rPr>
          <w:rFonts w:hint="eastAsia" w:ascii="方正楷体_GBK" w:hAnsi="方正楷体_GBK" w:eastAsia="方正楷体_GBK" w:cs="方正楷体_GBK"/>
          <w:b/>
          <w:bCs/>
          <w:color w:val="auto"/>
          <w:sz w:val="33"/>
          <w:szCs w:val="33"/>
        </w:rPr>
        <w:t>条【工作原则】</w:t>
      </w:r>
      <w:bookmarkEnd w:id="6"/>
      <w:bookmarkEnd w:id="7"/>
      <w:bookmarkEnd w:id="8"/>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红色资源保护传承必须坚持中国共产党的领导，坚持尊重史实、科学认定、分类保护、分级管理、合理利用、强化教育、永续传承的原则，实行党委领导、政府负责、部门协同、社会参与的工作机制。</w:t>
      </w:r>
    </w:p>
    <w:p>
      <w:pPr>
        <w:overflowPunct w:val="0"/>
        <w:autoSpaceDE w:val="0"/>
        <w:autoSpaceDN w:val="0"/>
        <w:adjustRightInd w:val="0"/>
        <w:snapToGrid w:val="0"/>
        <w:spacing w:line="590" w:lineRule="exact"/>
        <w:ind w:firstLine="680" w:firstLineChars="200"/>
        <w:outlineLvl w:val="1"/>
        <w:rPr>
          <w:rFonts w:hint="eastAsia" w:ascii="方正楷体_GBK" w:hAnsi="方正楷体_GBK" w:eastAsia="方正楷体_GBK" w:cs="方正楷体_GBK"/>
          <w:b/>
          <w:bCs/>
          <w:color w:val="auto"/>
          <w:sz w:val="33"/>
          <w:szCs w:val="33"/>
        </w:rPr>
      </w:pPr>
      <w:bookmarkStart w:id="9" w:name="_Toc162253096"/>
      <w:bookmarkStart w:id="10" w:name="_Toc6167"/>
      <w:bookmarkStart w:id="11" w:name="_Toc14832"/>
      <w:r>
        <w:rPr>
          <w:rFonts w:hint="eastAsia" w:ascii="方正楷体_GBK" w:hAnsi="方正楷体_GBK" w:eastAsia="方正楷体_GBK" w:cs="方正楷体_GBK"/>
          <w:b/>
          <w:bCs/>
          <w:color w:val="auto"/>
          <w:sz w:val="33"/>
          <w:szCs w:val="33"/>
        </w:rPr>
        <w:t>第</w:t>
      </w:r>
      <w:r>
        <w:rPr>
          <w:rFonts w:hint="eastAsia" w:ascii="方正楷体_GBK" w:hAnsi="方正楷体_GBK" w:eastAsia="方正楷体_GBK" w:cs="方正楷体_GBK"/>
          <w:b/>
          <w:bCs/>
          <w:color w:val="auto"/>
          <w:sz w:val="33"/>
          <w:szCs w:val="33"/>
          <w:lang w:eastAsia="zh-CN"/>
        </w:rPr>
        <w:t>五</w:t>
      </w:r>
      <w:r>
        <w:rPr>
          <w:rFonts w:hint="eastAsia" w:ascii="方正楷体_GBK" w:hAnsi="方正楷体_GBK" w:eastAsia="方正楷体_GBK" w:cs="方正楷体_GBK"/>
          <w:b/>
          <w:bCs/>
          <w:color w:val="auto"/>
          <w:sz w:val="33"/>
          <w:szCs w:val="33"/>
        </w:rPr>
        <w:t>条【各级政府及村居委会职责】</w:t>
      </w:r>
      <w:bookmarkEnd w:id="9"/>
      <w:bookmarkEnd w:id="10"/>
      <w:bookmarkEnd w:id="11"/>
    </w:p>
    <w:p>
      <w:pPr>
        <w:overflowPunct w:val="0"/>
        <w:autoSpaceDE w:val="0"/>
        <w:autoSpaceDN w:val="0"/>
        <w:adjustRightInd w:val="0"/>
        <w:snapToGrid w:val="0"/>
        <w:spacing w:line="590" w:lineRule="exact"/>
        <w:ind w:firstLine="680" w:firstLineChars="200"/>
        <w:textAlignment w:val="baseline"/>
        <w:rPr>
          <w:rFonts w:hint="eastAsia"/>
          <w:color w:val="auto"/>
        </w:rPr>
      </w:pPr>
      <w:r>
        <w:rPr>
          <w:rFonts w:hint="eastAsia" w:eastAsia="方正仿宋_GBK" w:cs="方正仿宋_GBK"/>
          <w:color w:val="auto"/>
          <w:sz w:val="33"/>
          <w:szCs w:val="33"/>
        </w:rPr>
        <w:t>市、县级人民政府负责本行政区域内红色资源保护传承工作，将红色资源保护传承纳入国民经济和社会发展规划、国土空间规划，组织制定红色资源保护传承措施；建立红色资源保护传承与经济社会发展相适应的经费保障机制，所需经费列入本级预算。</w:t>
      </w:r>
    </w:p>
    <w:p>
      <w:pPr>
        <w:overflowPunct w:val="0"/>
        <w:autoSpaceDE w:val="0"/>
        <w:autoSpaceDN w:val="0"/>
        <w:adjustRightInd w:val="0"/>
        <w:snapToGrid w:val="0"/>
        <w:spacing w:line="590" w:lineRule="exact"/>
        <w:ind w:firstLine="680" w:firstLineChars="200"/>
        <w:textAlignment w:val="baseline"/>
        <w:rPr>
          <w:rFonts w:eastAsia="方正仿宋_GBK" w:cs="方正仿宋_GBK"/>
          <w:color w:val="auto"/>
          <w:sz w:val="33"/>
          <w:szCs w:val="33"/>
        </w:rPr>
      </w:pPr>
      <w:bookmarkStart w:id="12" w:name="_Hlk172534591"/>
      <w:r>
        <w:rPr>
          <w:rFonts w:hint="eastAsia" w:eastAsia="方正仿宋_GBK" w:cs="方正仿宋_GBK"/>
          <w:color w:val="auto"/>
          <w:sz w:val="33"/>
          <w:szCs w:val="33"/>
        </w:rPr>
        <w:t>乡</w:t>
      </w:r>
      <w:r>
        <w:rPr>
          <w:rFonts w:eastAsia="方正仿宋_GBK" w:cs="方正仿宋_GBK"/>
          <w:color w:val="auto"/>
          <w:sz w:val="33"/>
          <w:szCs w:val="33"/>
          <w:lang w:val="en"/>
        </w:rPr>
        <w:t>（</w:t>
      </w:r>
      <w:r>
        <w:rPr>
          <w:rFonts w:hint="eastAsia" w:eastAsia="方正仿宋_GBK" w:cs="方正仿宋_GBK"/>
          <w:color w:val="auto"/>
          <w:sz w:val="33"/>
          <w:szCs w:val="33"/>
        </w:rPr>
        <w:t>镇</w:t>
      </w:r>
      <w:r>
        <w:rPr>
          <w:rFonts w:eastAsia="方正仿宋_GBK" w:cs="方正仿宋_GBK"/>
          <w:color w:val="auto"/>
          <w:sz w:val="33"/>
          <w:szCs w:val="33"/>
          <w:lang w:val="en"/>
        </w:rPr>
        <w:t>）</w:t>
      </w:r>
      <w:r>
        <w:rPr>
          <w:rFonts w:hint="eastAsia" w:eastAsia="方正仿宋_GBK" w:cs="方正仿宋_GBK"/>
          <w:color w:val="auto"/>
          <w:sz w:val="33"/>
          <w:szCs w:val="33"/>
        </w:rPr>
        <w:t>人民政府、街道办事处</w:t>
      </w:r>
      <w:bookmarkEnd w:id="12"/>
      <w:r>
        <w:rPr>
          <w:rFonts w:hint="eastAsia" w:eastAsia="方正仿宋_GBK" w:cs="方正仿宋_GBK"/>
          <w:color w:val="auto"/>
          <w:sz w:val="33"/>
          <w:szCs w:val="33"/>
        </w:rPr>
        <w:t>按照职责，做好辖区内红色资源保护传承工作。</w:t>
      </w:r>
    </w:p>
    <w:p>
      <w:pPr>
        <w:overflowPunct w:val="0"/>
        <w:autoSpaceDE w:val="0"/>
        <w:autoSpaceDN w:val="0"/>
        <w:adjustRightInd w:val="0"/>
        <w:snapToGrid w:val="0"/>
        <w:spacing w:line="590" w:lineRule="exact"/>
        <w:ind w:firstLine="680" w:firstLineChars="200"/>
        <w:outlineLvl w:val="1"/>
        <w:rPr>
          <w:rFonts w:eastAsia="方正仿宋_GBK" w:cs="方正仿宋_GBK"/>
          <w:color w:val="auto"/>
          <w:sz w:val="33"/>
          <w:szCs w:val="33"/>
        </w:rPr>
      </w:pPr>
      <w:r>
        <w:rPr>
          <w:rFonts w:hint="eastAsia" w:eastAsia="方正仿宋_GBK" w:cs="方正仿宋_GBK"/>
          <w:color w:val="auto"/>
          <w:sz w:val="33"/>
          <w:szCs w:val="33"/>
        </w:rPr>
        <w:t>村（居）民委员会协助做好红色资源保护传承工作。</w:t>
      </w:r>
      <w:bookmarkStart w:id="13" w:name="_Toc24587"/>
      <w:bookmarkStart w:id="14" w:name="_Toc162253097"/>
      <w:bookmarkStart w:id="15" w:name="_Toc11908"/>
    </w:p>
    <w:p>
      <w:pPr>
        <w:overflowPunct w:val="0"/>
        <w:autoSpaceDE w:val="0"/>
        <w:autoSpaceDN w:val="0"/>
        <w:adjustRightInd w:val="0"/>
        <w:snapToGrid w:val="0"/>
        <w:spacing w:line="590" w:lineRule="exact"/>
        <w:ind w:firstLine="680" w:firstLineChars="200"/>
        <w:outlineLvl w:val="1"/>
        <w:rPr>
          <w:rFonts w:hint="eastAsia" w:ascii="方正楷体_GBK" w:hAnsi="方正楷体_GBK" w:eastAsia="方正楷体_GBK" w:cs="方正楷体_GBK"/>
          <w:b/>
          <w:bCs/>
          <w:color w:val="auto"/>
          <w:sz w:val="33"/>
          <w:szCs w:val="33"/>
        </w:rPr>
      </w:pPr>
      <w:r>
        <w:rPr>
          <w:rFonts w:hint="eastAsia" w:ascii="方正楷体_GBK" w:hAnsi="方正楷体_GBK" w:eastAsia="方正楷体_GBK" w:cs="方正楷体_GBK"/>
          <w:b/>
          <w:bCs/>
          <w:color w:val="auto"/>
          <w:sz w:val="33"/>
          <w:szCs w:val="33"/>
        </w:rPr>
        <w:t>第</w:t>
      </w:r>
      <w:r>
        <w:rPr>
          <w:rFonts w:hint="eastAsia" w:ascii="方正楷体_GBK" w:hAnsi="方正楷体_GBK" w:eastAsia="方正楷体_GBK" w:cs="方正楷体_GBK"/>
          <w:b/>
          <w:bCs/>
          <w:color w:val="auto"/>
          <w:sz w:val="33"/>
          <w:szCs w:val="33"/>
          <w:lang w:eastAsia="zh-CN"/>
        </w:rPr>
        <w:t>六</w:t>
      </w:r>
      <w:r>
        <w:rPr>
          <w:rFonts w:hint="eastAsia" w:ascii="方正楷体_GBK" w:hAnsi="方正楷体_GBK" w:eastAsia="方正楷体_GBK" w:cs="方正楷体_GBK"/>
          <w:b/>
          <w:bCs/>
          <w:color w:val="auto"/>
          <w:sz w:val="33"/>
          <w:szCs w:val="33"/>
        </w:rPr>
        <w:t>条【联席会议与专家委员会】</w:t>
      </w:r>
    </w:p>
    <w:p>
      <w:pPr>
        <w:overflowPunct w:val="0"/>
        <w:autoSpaceDE w:val="0"/>
        <w:autoSpaceDN w:val="0"/>
        <w:adjustRightInd w:val="0"/>
        <w:snapToGrid w:val="0"/>
        <w:spacing w:line="590" w:lineRule="exact"/>
        <w:ind w:firstLine="680" w:firstLineChars="200"/>
        <w:textAlignment w:val="baseline"/>
        <w:rPr>
          <w:rFonts w:eastAsia="方正仿宋_GBK" w:cs="方正仿宋_GBK"/>
          <w:color w:val="auto"/>
          <w:sz w:val="33"/>
          <w:szCs w:val="33"/>
        </w:rPr>
      </w:pPr>
      <w:r>
        <w:rPr>
          <w:rFonts w:hint="eastAsia" w:eastAsia="方正仿宋_GBK" w:cs="方正仿宋_GBK"/>
          <w:color w:val="auto"/>
          <w:sz w:val="33"/>
          <w:szCs w:val="33"/>
        </w:rPr>
        <w:t>市、县级宣传部门牵头建立红色资源保护传承联席会议机制。联席会议由承担红色资源保护传承工作的红色资源主管部门及其他相关部门（单位）组成，负责统筹、协调、推动红色资源保护传承工作，研究解决工作中的重大问题。</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联席会议办事机构设在同级宣传部门，具体负责联席会议的组织工作，推进落实红色资源保护传承综合协调、督促检查等工作，完成联席会议交办的其他工作。</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市、县级</w:t>
      </w:r>
      <w:r>
        <w:rPr>
          <w:rFonts w:hint="eastAsia" w:eastAsia="方正仿宋_GBK" w:cs="方正仿宋_GBK"/>
          <w:color w:val="auto"/>
          <w:sz w:val="33"/>
          <w:szCs w:val="33"/>
          <w:lang w:val="en"/>
        </w:rPr>
        <w:t>宣传部门</w:t>
      </w:r>
      <w:r>
        <w:rPr>
          <w:rFonts w:hint="eastAsia" w:eastAsia="方正仿宋_GBK" w:cs="方正仿宋_GBK"/>
          <w:color w:val="auto"/>
          <w:sz w:val="33"/>
          <w:szCs w:val="33"/>
        </w:rPr>
        <w:t>牵头建立红色资源保护传承专家委员会。专家委员会应当由宣传、党史、军史、文化、文物、旅游、档案、法律、规划、建设、地方志等领域专家组成，对红色资源的调查认定、保护管理、传承弘扬等事项提供咨询、论证、评审意见或者专业指导。</w:t>
      </w:r>
    </w:p>
    <w:p>
      <w:pPr>
        <w:overflowPunct w:val="0"/>
        <w:autoSpaceDE w:val="0"/>
        <w:autoSpaceDN w:val="0"/>
        <w:adjustRightInd w:val="0"/>
        <w:snapToGrid w:val="0"/>
        <w:spacing w:line="590" w:lineRule="exact"/>
        <w:ind w:firstLine="680" w:firstLineChars="200"/>
        <w:outlineLvl w:val="1"/>
        <w:rPr>
          <w:rFonts w:hint="eastAsia" w:ascii="方正楷体_GBK" w:hAnsi="方正楷体_GBK" w:eastAsia="方正楷体_GBK" w:cs="方正楷体_GBK"/>
          <w:b/>
          <w:bCs/>
          <w:color w:val="auto"/>
          <w:sz w:val="33"/>
          <w:szCs w:val="33"/>
        </w:rPr>
      </w:pPr>
      <w:r>
        <w:rPr>
          <w:rFonts w:hint="eastAsia" w:ascii="方正楷体_GBK" w:hAnsi="方正楷体_GBK" w:eastAsia="方正楷体_GBK" w:cs="方正楷体_GBK"/>
          <w:b/>
          <w:bCs/>
          <w:color w:val="auto"/>
          <w:sz w:val="33"/>
          <w:szCs w:val="33"/>
        </w:rPr>
        <w:t>第</w:t>
      </w:r>
      <w:r>
        <w:rPr>
          <w:rFonts w:hint="eastAsia" w:ascii="方正楷体_GBK" w:hAnsi="方正楷体_GBK" w:eastAsia="方正楷体_GBK" w:cs="方正楷体_GBK"/>
          <w:b/>
          <w:bCs/>
          <w:color w:val="auto"/>
          <w:sz w:val="33"/>
          <w:szCs w:val="33"/>
          <w:lang w:eastAsia="zh-CN"/>
        </w:rPr>
        <w:t>七</w:t>
      </w:r>
      <w:r>
        <w:rPr>
          <w:rFonts w:hint="eastAsia" w:ascii="方正楷体_GBK" w:hAnsi="方正楷体_GBK" w:eastAsia="方正楷体_GBK" w:cs="方正楷体_GBK"/>
          <w:b/>
          <w:bCs/>
          <w:color w:val="auto"/>
          <w:sz w:val="33"/>
          <w:szCs w:val="33"/>
        </w:rPr>
        <w:t>条【相关部门、单位职责】</w:t>
      </w:r>
      <w:bookmarkEnd w:id="13"/>
      <w:bookmarkEnd w:id="14"/>
      <w:bookmarkEnd w:id="15"/>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红色资源</w:t>
      </w:r>
      <w:r>
        <w:rPr>
          <w:rFonts w:hint="eastAsia" w:eastAsia="方正仿宋_GBK" w:cs="方正仿宋_GBK"/>
          <w:color w:val="auto"/>
          <w:sz w:val="33"/>
          <w:szCs w:val="33"/>
          <w:lang w:eastAsia="zh-CN"/>
        </w:rPr>
        <w:t>相关</w:t>
      </w:r>
      <w:r>
        <w:rPr>
          <w:rFonts w:hint="eastAsia" w:eastAsia="方正仿宋_GBK" w:cs="方正仿宋_GBK"/>
          <w:color w:val="auto"/>
          <w:sz w:val="33"/>
          <w:szCs w:val="33"/>
        </w:rPr>
        <w:t>主管部门应当按照职责分工，负责红色资源调查认定、保护管理、传承弘扬等具体工作。市级宣传部门会同红色资源主管部门依法</w:t>
      </w:r>
      <w:r>
        <w:rPr>
          <w:rFonts w:hint="eastAsia" w:eastAsia="方正仿宋_GBK" w:cs="方正仿宋_GBK"/>
          <w:color w:val="auto"/>
          <w:sz w:val="33"/>
          <w:szCs w:val="33"/>
          <w:lang w:val="en"/>
        </w:rPr>
        <w:t>研究</w:t>
      </w:r>
      <w:r>
        <w:rPr>
          <w:rFonts w:hint="eastAsia" w:eastAsia="方正仿宋_GBK" w:cs="方正仿宋_GBK"/>
          <w:color w:val="auto"/>
          <w:sz w:val="33"/>
          <w:szCs w:val="33"/>
        </w:rPr>
        <w:t>制定</w:t>
      </w:r>
      <w:bookmarkStart w:id="16" w:name="_Hlk174643101"/>
      <w:r>
        <w:rPr>
          <w:rFonts w:hint="eastAsia" w:eastAsia="方正仿宋_GBK" w:cs="方正仿宋_GBK"/>
          <w:color w:val="auto"/>
          <w:sz w:val="33"/>
          <w:szCs w:val="33"/>
        </w:rPr>
        <w:t>市、县级红色资源的认定标准</w:t>
      </w:r>
      <w:bookmarkEnd w:id="16"/>
      <w:r>
        <w:rPr>
          <w:rFonts w:hint="eastAsia" w:eastAsia="方正仿宋_GBK" w:cs="方正仿宋_GBK"/>
          <w:color w:val="auto"/>
          <w:sz w:val="33"/>
          <w:szCs w:val="33"/>
        </w:rPr>
        <w:t>。</w:t>
      </w:r>
    </w:p>
    <w:p>
      <w:pPr>
        <w:tabs>
          <w:tab w:val="center" w:pos="4153"/>
          <w:tab w:val="right" w:pos="8306"/>
        </w:tabs>
        <w:snapToGrid w:val="0"/>
        <w:spacing w:line="590" w:lineRule="exact"/>
        <w:ind w:firstLine="680" w:firstLineChars="200"/>
        <w:rPr>
          <w:rFonts w:hint="eastAsia" w:eastAsia="方正仿宋_GBK" w:cs="方正仿宋_GBK"/>
          <w:color w:val="auto"/>
          <w:sz w:val="33"/>
          <w:szCs w:val="33"/>
        </w:rPr>
      </w:pPr>
      <w:r>
        <w:rPr>
          <w:rFonts w:hint="eastAsia" w:eastAsia="方正仿宋_GBK" w:cs="方正仿宋_GBK"/>
          <w:color w:val="auto"/>
          <w:sz w:val="33"/>
          <w:szCs w:val="33"/>
        </w:rPr>
        <w:t>文化</w:t>
      </w:r>
      <w:r>
        <w:rPr>
          <w:rFonts w:hint="eastAsia" w:eastAsia="方正仿宋_GBK" w:cs="方正仿宋_GBK"/>
          <w:color w:val="auto"/>
          <w:sz w:val="33"/>
          <w:szCs w:val="33"/>
          <w:lang w:val="en-US" w:eastAsia="zh-CN"/>
        </w:rPr>
        <w:t>和</w:t>
      </w:r>
      <w:r>
        <w:rPr>
          <w:rFonts w:hint="eastAsia" w:eastAsia="方正仿宋_GBK" w:cs="方正仿宋_GBK"/>
          <w:color w:val="auto"/>
          <w:sz w:val="33"/>
          <w:szCs w:val="33"/>
        </w:rPr>
        <w:t>旅游</w:t>
      </w:r>
      <w:r>
        <w:rPr>
          <w:rFonts w:hint="eastAsia" w:eastAsia="方正仿宋_GBK" w:cs="方正仿宋_GBK"/>
          <w:color w:val="auto"/>
          <w:sz w:val="33"/>
          <w:szCs w:val="33"/>
          <w:lang w:val="en-US" w:eastAsia="zh-CN"/>
        </w:rPr>
        <w:t>主管</w:t>
      </w:r>
      <w:r>
        <w:rPr>
          <w:rFonts w:hint="eastAsia" w:eastAsia="方正仿宋_GBK" w:cs="方正仿宋_GBK"/>
          <w:color w:val="auto"/>
          <w:sz w:val="33"/>
          <w:szCs w:val="33"/>
        </w:rPr>
        <w:t>部门负责红色资源保护传承相关的文艺作品创作及展演、公共文化服务、旅游服务、推动红色主题场馆建设等工作。</w:t>
      </w:r>
    </w:p>
    <w:p>
      <w:pPr>
        <w:tabs>
          <w:tab w:val="center" w:pos="4153"/>
          <w:tab w:val="right" w:pos="8306"/>
        </w:tabs>
        <w:snapToGrid w:val="0"/>
        <w:spacing w:line="590" w:lineRule="exact"/>
        <w:ind w:firstLine="680" w:firstLineChars="200"/>
        <w:rPr>
          <w:rFonts w:hint="default" w:eastAsia="方正仿宋_GBK" w:cs="方正仿宋_GBK"/>
          <w:color w:val="auto"/>
          <w:sz w:val="33"/>
          <w:szCs w:val="33"/>
          <w:lang w:val="en-US" w:eastAsia="zh-CN"/>
        </w:rPr>
      </w:pPr>
      <w:r>
        <w:rPr>
          <w:rFonts w:hint="eastAsia" w:eastAsia="方正仿宋_GBK" w:cs="方正仿宋_GBK"/>
          <w:color w:val="auto"/>
          <w:sz w:val="33"/>
          <w:szCs w:val="33"/>
          <w:lang w:val="en-US" w:eastAsia="zh-CN"/>
        </w:rPr>
        <w:t>文物主管</w:t>
      </w:r>
      <w:r>
        <w:rPr>
          <w:rFonts w:hint="eastAsia" w:eastAsia="方正仿宋_GBK" w:cs="方正仿宋_GBK"/>
          <w:color w:val="auto"/>
          <w:sz w:val="33"/>
          <w:szCs w:val="33"/>
        </w:rPr>
        <w:t>部门负责红色资源中</w:t>
      </w:r>
      <w:r>
        <w:rPr>
          <w:rFonts w:hint="eastAsia" w:eastAsia="方正仿宋_GBK" w:cs="方正仿宋_GBK"/>
          <w:color w:val="auto"/>
          <w:sz w:val="33"/>
          <w:szCs w:val="33"/>
          <w:lang w:val="en"/>
        </w:rPr>
        <w:t>文物等</w:t>
      </w:r>
      <w:r>
        <w:rPr>
          <w:rFonts w:hint="eastAsia" w:eastAsia="方正仿宋_GBK" w:cs="方正仿宋_GBK"/>
          <w:color w:val="auto"/>
          <w:sz w:val="33"/>
          <w:szCs w:val="33"/>
        </w:rPr>
        <w:t>文化遗产保护</w:t>
      </w:r>
      <w:r>
        <w:rPr>
          <w:rFonts w:hint="eastAsia" w:eastAsia="方正仿宋_GBK" w:cs="方正仿宋_GBK"/>
          <w:color w:val="auto"/>
          <w:sz w:val="33"/>
          <w:szCs w:val="33"/>
          <w:lang w:val="en"/>
        </w:rPr>
        <w:t>传承</w:t>
      </w:r>
      <w:r>
        <w:rPr>
          <w:rFonts w:hint="eastAsia" w:eastAsia="方正仿宋_GBK" w:cs="方正仿宋_GBK"/>
          <w:color w:val="auto"/>
          <w:sz w:val="33"/>
          <w:szCs w:val="33"/>
          <w:lang w:val="en-US" w:eastAsia="zh-CN"/>
        </w:rPr>
        <w:t>工作。</w:t>
      </w:r>
    </w:p>
    <w:p>
      <w:pPr>
        <w:tabs>
          <w:tab w:val="center" w:pos="4153"/>
          <w:tab w:val="right" w:pos="8306"/>
        </w:tabs>
        <w:snapToGrid w:val="0"/>
        <w:spacing w:line="590" w:lineRule="exact"/>
        <w:ind w:firstLine="680" w:firstLineChars="200"/>
        <w:rPr>
          <w:rFonts w:eastAsia="方正仿宋_GBK" w:cs="方正仿宋_GBK"/>
          <w:color w:val="auto"/>
          <w:sz w:val="33"/>
          <w:szCs w:val="33"/>
        </w:rPr>
      </w:pPr>
      <w:r>
        <w:rPr>
          <w:rFonts w:hint="eastAsia" w:eastAsia="方正仿宋_GBK" w:cs="方正仿宋_GBK"/>
          <w:color w:val="auto"/>
          <w:sz w:val="33"/>
          <w:szCs w:val="33"/>
        </w:rPr>
        <w:t>退役军人事务部门负责烈士纪念设施的规划建设、修缮管理、保护利用，传承和弘扬英雄烈士精神，开展英雄烈士事迹、遗物和史料的征集、整理、保护及弘扬工作。</w:t>
      </w:r>
    </w:p>
    <w:p>
      <w:pPr>
        <w:spacing w:line="590" w:lineRule="exact"/>
        <w:ind w:firstLine="680" w:firstLineChars="200"/>
        <w:rPr>
          <w:rFonts w:eastAsia="方正仿宋_GBK" w:cs="方正仿宋_GBK"/>
          <w:color w:val="auto"/>
          <w:sz w:val="33"/>
          <w:szCs w:val="33"/>
        </w:rPr>
      </w:pPr>
      <w:r>
        <w:rPr>
          <w:rFonts w:hint="eastAsia" w:eastAsia="方正仿宋_GBK" w:cs="方正仿宋_GBK"/>
          <w:color w:val="auto"/>
          <w:sz w:val="33"/>
          <w:szCs w:val="33"/>
        </w:rPr>
        <w:t>住房城乡建设部门会同文化</w:t>
      </w:r>
      <w:r>
        <w:rPr>
          <w:rFonts w:hint="eastAsia" w:eastAsia="方正仿宋_GBK" w:cs="方正仿宋_GBK"/>
          <w:color w:val="auto"/>
          <w:sz w:val="33"/>
          <w:szCs w:val="33"/>
          <w:lang w:eastAsia="zh-CN"/>
        </w:rPr>
        <w:t>和</w:t>
      </w:r>
      <w:r>
        <w:rPr>
          <w:rFonts w:hint="eastAsia" w:eastAsia="方正仿宋_GBK" w:cs="方正仿宋_GBK"/>
          <w:color w:val="auto"/>
          <w:sz w:val="33"/>
          <w:szCs w:val="33"/>
        </w:rPr>
        <w:t>旅游</w:t>
      </w:r>
      <w:r>
        <w:rPr>
          <w:rFonts w:hint="eastAsia" w:eastAsia="方正仿宋_GBK" w:cs="方正仿宋_GBK"/>
          <w:color w:val="auto"/>
          <w:sz w:val="33"/>
          <w:szCs w:val="33"/>
          <w:lang w:eastAsia="zh-CN"/>
        </w:rPr>
        <w:t>主管</w:t>
      </w:r>
      <w:r>
        <w:rPr>
          <w:rFonts w:hint="eastAsia" w:eastAsia="方正仿宋_GBK" w:cs="方正仿宋_GBK"/>
          <w:color w:val="auto"/>
          <w:sz w:val="33"/>
          <w:szCs w:val="33"/>
        </w:rPr>
        <w:t>部门负责红色资源中历史文化名城、名镇、名村（传统村落）、历史文化街区及历史建筑的保护利用工作。</w:t>
      </w:r>
    </w:p>
    <w:p>
      <w:pPr>
        <w:spacing w:line="590" w:lineRule="exact"/>
        <w:ind w:firstLine="680" w:firstLineChars="200"/>
        <w:rPr>
          <w:rFonts w:eastAsia="方正仿宋_GBK" w:cs="方正仿宋_GBK"/>
          <w:color w:val="auto"/>
          <w:sz w:val="33"/>
          <w:szCs w:val="33"/>
        </w:rPr>
      </w:pPr>
      <w:r>
        <w:rPr>
          <w:rFonts w:hint="eastAsia" w:eastAsia="方正仿宋_GBK" w:cs="方正仿宋_GBK"/>
          <w:color w:val="auto"/>
          <w:sz w:val="33"/>
          <w:szCs w:val="33"/>
        </w:rPr>
        <w:t>党史、档案、地方志等部门负责红色资源保护传承的史实研究、审核和确认，开展文献、档案等征集、保护和传承工作。</w:t>
      </w:r>
    </w:p>
    <w:p>
      <w:pPr>
        <w:pStyle w:val="10"/>
        <w:spacing w:line="590" w:lineRule="exact"/>
        <w:ind w:firstLine="680" w:firstLineChars="200"/>
        <w:jc w:val="both"/>
        <w:rPr>
          <w:rFonts w:hint="eastAsia" w:eastAsia="方正仿宋_GBK" w:cs="方正仿宋_GBK"/>
          <w:color w:val="auto"/>
          <w:sz w:val="33"/>
          <w:szCs w:val="33"/>
        </w:rPr>
      </w:pPr>
      <w:r>
        <w:rPr>
          <w:rFonts w:hint="eastAsia" w:eastAsia="方正仿宋_GBK" w:cs="方正仿宋_GBK"/>
          <w:color w:val="auto"/>
          <w:sz w:val="33"/>
          <w:szCs w:val="33"/>
        </w:rPr>
        <w:t>发展改革、经济信息化、教育、公安、民政、司法行政、财政、人力资源社会保障、自然资源规划、生态环境、交通运输、农业农村、应急管理、水务、林业、</w:t>
      </w:r>
      <w:r>
        <w:rPr>
          <w:rFonts w:hint="eastAsia" w:eastAsia="方正仿宋_GBK" w:cs="方正仿宋_GBK"/>
          <w:color w:val="auto"/>
          <w:sz w:val="33"/>
          <w:szCs w:val="33"/>
          <w:lang w:eastAsia="zh-CN"/>
        </w:rPr>
        <w:t>广播电视、</w:t>
      </w:r>
      <w:r>
        <w:rPr>
          <w:rFonts w:hint="eastAsia" w:eastAsia="方正仿宋_GBK" w:cs="方正仿宋_GBK"/>
          <w:color w:val="auto"/>
          <w:sz w:val="33"/>
          <w:szCs w:val="33"/>
        </w:rPr>
        <w:t>新闻出版、邓小平故里管理局等</w:t>
      </w:r>
      <w:bookmarkStart w:id="17" w:name="_Hlk171609105"/>
      <w:r>
        <w:rPr>
          <w:rFonts w:hint="eastAsia" w:eastAsia="方正仿宋_GBK" w:cs="方正仿宋_GBK"/>
          <w:color w:val="auto"/>
          <w:sz w:val="33"/>
          <w:szCs w:val="33"/>
        </w:rPr>
        <w:t>部门（单位）</w:t>
      </w:r>
      <w:bookmarkEnd w:id="17"/>
      <w:r>
        <w:rPr>
          <w:rFonts w:hint="eastAsia" w:eastAsia="方正仿宋_GBK" w:cs="方正仿宋_GBK"/>
          <w:color w:val="auto"/>
          <w:sz w:val="33"/>
          <w:szCs w:val="33"/>
        </w:rPr>
        <w:t>，在各自职责范围内做好红色资源保护传承相关工作。</w:t>
      </w:r>
    </w:p>
    <w:p>
      <w:pPr>
        <w:pStyle w:val="10"/>
        <w:spacing w:line="590" w:lineRule="exact"/>
        <w:ind w:firstLine="680" w:firstLineChars="200"/>
        <w:jc w:val="both"/>
        <w:rPr>
          <w:rFonts w:hint="eastAsia" w:eastAsia="方正仿宋_GBK" w:cs="方正仿宋_GBK"/>
          <w:color w:val="auto"/>
          <w:sz w:val="33"/>
          <w:szCs w:val="33"/>
        </w:rPr>
      </w:pPr>
      <w:r>
        <w:rPr>
          <w:rFonts w:hint="eastAsia" w:eastAsia="方正仿宋_GBK" w:cs="方正仿宋_GBK"/>
          <w:color w:val="auto"/>
          <w:sz w:val="33"/>
          <w:szCs w:val="33"/>
        </w:rPr>
        <w:t>工会、共青团、妇联等社会团体结合各自优势，组织开展红色资源保护传承工作。</w:t>
      </w:r>
    </w:p>
    <w:p>
      <w:pPr>
        <w:pStyle w:val="10"/>
        <w:spacing w:line="590" w:lineRule="exact"/>
        <w:ind w:firstLine="680" w:firstLineChars="200"/>
        <w:jc w:val="both"/>
        <w:rPr>
          <w:rFonts w:hint="eastAsia" w:ascii="方正楷体_GBK" w:hAnsi="方正楷体_GBK" w:eastAsia="方正楷体_GBK" w:cs="方正楷体_GBK"/>
          <w:b/>
          <w:bCs/>
          <w:color w:val="auto"/>
          <w:sz w:val="33"/>
          <w:szCs w:val="33"/>
        </w:rPr>
      </w:pPr>
      <w:bookmarkStart w:id="18" w:name="_Toc9536"/>
      <w:r>
        <w:rPr>
          <w:rFonts w:hint="eastAsia" w:ascii="方正楷体_GBK" w:hAnsi="方正楷体_GBK" w:eastAsia="方正楷体_GBK" w:cs="方正楷体_GBK"/>
          <w:b/>
          <w:bCs/>
          <w:color w:val="auto"/>
          <w:sz w:val="33"/>
          <w:szCs w:val="33"/>
        </w:rPr>
        <w:t>第</w:t>
      </w:r>
      <w:r>
        <w:rPr>
          <w:rFonts w:hint="eastAsia" w:ascii="方正楷体_GBK" w:hAnsi="方正楷体_GBK" w:eastAsia="方正楷体_GBK" w:cs="方正楷体_GBK"/>
          <w:b/>
          <w:bCs/>
          <w:color w:val="auto"/>
          <w:sz w:val="33"/>
          <w:szCs w:val="33"/>
          <w:lang w:eastAsia="zh-CN"/>
        </w:rPr>
        <w:t>八</w:t>
      </w:r>
      <w:r>
        <w:rPr>
          <w:rFonts w:hint="eastAsia" w:ascii="方正楷体_GBK" w:hAnsi="方正楷体_GBK" w:eastAsia="方正楷体_GBK" w:cs="方正楷体_GBK"/>
          <w:b/>
          <w:bCs/>
          <w:color w:val="auto"/>
          <w:sz w:val="33"/>
          <w:szCs w:val="33"/>
        </w:rPr>
        <w:t>条【红色资源名录制度】</w:t>
      </w:r>
    </w:p>
    <w:p>
      <w:pPr>
        <w:pStyle w:val="10"/>
        <w:spacing w:line="590" w:lineRule="exact"/>
        <w:ind w:firstLine="680" w:firstLineChars="200"/>
        <w:jc w:val="both"/>
        <w:rPr>
          <w:rFonts w:hint="eastAsia" w:eastAsia="方正仿宋_GBK" w:cs="方正仿宋_GBK"/>
          <w:color w:val="auto"/>
          <w:sz w:val="33"/>
          <w:szCs w:val="33"/>
        </w:rPr>
      </w:pPr>
      <w:r>
        <w:rPr>
          <w:rFonts w:hint="eastAsia" w:eastAsia="方正仿宋_GBK" w:cs="方正仿宋_GBK"/>
          <w:color w:val="auto"/>
          <w:sz w:val="33"/>
          <w:szCs w:val="33"/>
        </w:rPr>
        <w:t>本市实行</w:t>
      </w:r>
      <w:r>
        <w:rPr>
          <w:rFonts w:hint="eastAsia" w:eastAsia="方正仿宋_GBK" w:cs="方正仿宋_GBK"/>
          <w:color w:val="auto"/>
          <w:sz w:val="33"/>
          <w:szCs w:val="33"/>
          <w:lang w:eastAsia="zh-CN"/>
        </w:rPr>
        <w:t>分级分类的</w:t>
      </w:r>
      <w:r>
        <w:rPr>
          <w:rFonts w:hint="eastAsia" w:eastAsia="方正仿宋_GBK" w:cs="方正仿宋_GBK"/>
          <w:color w:val="auto"/>
          <w:sz w:val="33"/>
          <w:szCs w:val="33"/>
        </w:rPr>
        <w:t>红色资源名录制度，对符合认定标准的红色资源依照规定列入红色资源名录，作为红色资源保护管理、传承弘扬的依据。</w:t>
      </w:r>
    </w:p>
    <w:p>
      <w:pPr>
        <w:pStyle w:val="10"/>
        <w:spacing w:line="590" w:lineRule="exact"/>
        <w:ind w:firstLine="680" w:firstLineChars="200"/>
        <w:jc w:val="both"/>
        <w:rPr>
          <w:rFonts w:hint="eastAsia" w:eastAsia="方正仿宋_GBK" w:cs="方正仿宋_GBK"/>
          <w:color w:val="auto"/>
          <w:sz w:val="33"/>
          <w:szCs w:val="33"/>
        </w:rPr>
      </w:pPr>
      <w:r>
        <w:rPr>
          <w:rFonts w:hint="eastAsia" w:eastAsia="方正仿宋_GBK" w:cs="方正仿宋_GBK"/>
          <w:color w:val="auto"/>
          <w:sz w:val="33"/>
          <w:szCs w:val="33"/>
        </w:rPr>
        <w:t>红色资源名录应当载明名称、位置、类型、简介、权属、保护责任人等内容，不可移动红色资源还应当标注地理坐标、保护范围、建设控制地带等信息。</w:t>
      </w:r>
    </w:p>
    <w:bookmarkEnd w:id="18"/>
    <w:p>
      <w:pPr>
        <w:overflowPunct w:val="0"/>
        <w:autoSpaceDE w:val="0"/>
        <w:autoSpaceDN w:val="0"/>
        <w:adjustRightInd w:val="0"/>
        <w:snapToGrid w:val="0"/>
        <w:spacing w:line="590" w:lineRule="exact"/>
        <w:ind w:firstLine="680" w:firstLineChars="200"/>
        <w:outlineLvl w:val="1"/>
        <w:rPr>
          <w:rFonts w:hint="eastAsia" w:eastAsia="方正仿宋_GBK" w:cs="方正仿宋_GBK"/>
          <w:color w:val="auto"/>
          <w:sz w:val="33"/>
          <w:szCs w:val="33"/>
        </w:rPr>
      </w:pPr>
    </w:p>
    <w:p>
      <w:pPr>
        <w:numPr>
          <w:ilvl w:val="0"/>
          <w:numId w:val="1"/>
        </w:numPr>
        <w:overflowPunct w:val="0"/>
        <w:adjustRightInd w:val="0"/>
        <w:snapToGrid w:val="0"/>
        <w:spacing w:line="590" w:lineRule="exact"/>
        <w:jc w:val="center"/>
        <w:outlineLvl w:val="0"/>
        <w:rPr>
          <w:rFonts w:hint="eastAsia" w:ascii="方正黑体_GBK" w:hAnsi="方正黑体_GBK" w:eastAsia="方正黑体_GBK" w:cs="方正黑体_GBK"/>
          <w:color w:val="auto"/>
          <w:kern w:val="44"/>
          <w:sz w:val="33"/>
          <w:szCs w:val="33"/>
        </w:rPr>
      </w:pPr>
      <w:bookmarkStart w:id="19" w:name="_Toc162253100"/>
      <w:bookmarkStart w:id="20" w:name="_Toc6279"/>
      <w:bookmarkStart w:id="21" w:name="_Toc17897"/>
      <w:r>
        <w:rPr>
          <w:rFonts w:hint="eastAsia" w:ascii="方正黑体_GBK" w:hAnsi="方正黑体_GBK" w:eastAsia="方正黑体_GBK" w:cs="方正黑体_GBK"/>
          <w:color w:val="auto"/>
          <w:kern w:val="44"/>
          <w:sz w:val="33"/>
          <w:szCs w:val="33"/>
          <w:lang w:val="en-US" w:eastAsia="zh-CN"/>
        </w:rPr>
        <w:t>调查</w:t>
      </w:r>
      <w:r>
        <w:rPr>
          <w:rFonts w:hint="eastAsia" w:ascii="方正黑体_GBK" w:hAnsi="方正黑体_GBK" w:eastAsia="方正黑体_GBK" w:cs="方正黑体_GBK"/>
          <w:color w:val="auto"/>
          <w:kern w:val="44"/>
          <w:sz w:val="33"/>
          <w:szCs w:val="33"/>
        </w:rPr>
        <w:t>认定</w:t>
      </w:r>
      <w:bookmarkEnd w:id="19"/>
      <w:bookmarkEnd w:id="20"/>
      <w:bookmarkEnd w:id="21"/>
    </w:p>
    <w:p>
      <w:pPr>
        <w:overflowPunct w:val="0"/>
        <w:autoSpaceDE w:val="0"/>
        <w:autoSpaceDN w:val="0"/>
        <w:adjustRightInd w:val="0"/>
        <w:snapToGrid w:val="0"/>
        <w:spacing w:line="590" w:lineRule="exact"/>
        <w:ind w:firstLine="680" w:firstLineChars="200"/>
        <w:outlineLvl w:val="1"/>
        <w:rPr>
          <w:rFonts w:hint="eastAsia" w:ascii="方正楷体_GBK" w:hAnsi="方正楷体_GBK" w:eastAsia="方正楷体_GBK" w:cs="方正楷体_GBK"/>
          <w:b/>
          <w:bCs/>
          <w:color w:val="auto"/>
          <w:sz w:val="33"/>
          <w:szCs w:val="33"/>
        </w:rPr>
      </w:pPr>
      <w:bookmarkStart w:id="22" w:name="_Toc162253101"/>
    </w:p>
    <w:p>
      <w:pPr>
        <w:overflowPunct w:val="0"/>
        <w:autoSpaceDE w:val="0"/>
        <w:autoSpaceDN w:val="0"/>
        <w:adjustRightInd w:val="0"/>
        <w:snapToGrid w:val="0"/>
        <w:spacing w:line="590" w:lineRule="exact"/>
        <w:ind w:firstLine="680" w:firstLineChars="200"/>
        <w:outlineLvl w:val="1"/>
        <w:rPr>
          <w:rFonts w:hint="eastAsia" w:ascii="方正楷体_GBK" w:hAnsi="方正楷体_GBK" w:eastAsia="方正楷体_GBK" w:cs="方正楷体_GBK"/>
          <w:b/>
          <w:bCs/>
          <w:color w:val="auto"/>
          <w:sz w:val="33"/>
          <w:szCs w:val="33"/>
        </w:rPr>
      </w:pPr>
      <w:r>
        <w:rPr>
          <w:rFonts w:hint="eastAsia" w:ascii="方正楷体_GBK" w:hAnsi="方正楷体_GBK" w:eastAsia="方正楷体_GBK" w:cs="方正楷体_GBK"/>
          <w:b/>
          <w:bCs/>
          <w:color w:val="auto"/>
          <w:sz w:val="33"/>
          <w:szCs w:val="33"/>
        </w:rPr>
        <w:t>第</w:t>
      </w:r>
      <w:r>
        <w:rPr>
          <w:rFonts w:hint="eastAsia" w:ascii="方正楷体_GBK" w:hAnsi="方正楷体_GBK" w:eastAsia="方正楷体_GBK" w:cs="方正楷体_GBK"/>
          <w:b/>
          <w:bCs/>
          <w:color w:val="auto"/>
          <w:sz w:val="33"/>
          <w:szCs w:val="33"/>
          <w:lang w:eastAsia="zh-CN"/>
        </w:rPr>
        <w:t>九</w:t>
      </w:r>
      <w:r>
        <w:rPr>
          <w:rFonts w:hint="eastAsia" w:ascii="方正楷体_GBK" w:hAnsi="方正楷体_GBK" w:eastAsia="方正楷体_GBK" w:cs="方正楷体_GBK"/>
          <w:b/>
          <w:bCs/>
          <w:color w:val="auto"/>
          <w:sz w:val="33"/>
          <w:szCs w:val="33"/>
        </w:rPr>
        <w:t>条</w:t>
      </w:r>
      <w:bookmarkStart w:id="23" w:name="_Toc18068"/>
      <w:bookmarkStart w:id="24" w:name="_Toc11936"/>
      <w:r>
        <w:rPr>
          <w:rFonts w:hint="eastAsia" w:ascii="方正楷体_GBK" w:hAnsi="方正楷体_GBK" w:eastAsia="方正楷体_GBK" w:cs="方正楷体_GBK"/>
          <w:b/>
          <w:bCs/>
          <w:color w:val="auto"/>
          <w:sz w:val="33"/>
          <w:szCs w:val="33"/>
        </w:rPr>
        <w:t>【红色资源调查】</w:t>
      </w:r>
      <w:bookmarkEnd w:id="22"/>
      <w:bookmarkEnd w:id="23"/>
      <w:bookmarkEnd w:id="24"/>
    </w:p>
    <w:p>
      <w:pPr>
        <w:overflowPunct w:val="0"/>
        <w:autoSpaceDE w:val="0"/>
        <w:autoSpaceDN w:val="0"/>
        <w:adjustRightInd w:val="0"/>
        <w:snapToGrid w:val="0"/>
        <w:spacing w:line="590" w:lineRule="exact"/>
        <w:ind w:firstLine="680" w:firstLineChars="200"/>
        <w:textAlignment w:val="baseline"/>
        <w:rPr>
          <w:rFonts w:hint="eastAsia"/>
          <w:color w:val="auto"/>
        </w:rPr>
      </w:pPr>
      <w:r>
        <w:rPr>
          <w:rFonts w:hint="eastAsia" w:eastAsia="方正仿宋_GBK" w:cs="方正仿宋_GBK"/>
          <w:color w:val="auto"/>
          <w:sz w:val="33"/>
          <w:szCs w:val="33"/>
        </w:rPr>
        <w:t>市、县级</w:t>
      </w:r>
      <w:r>
        <w:rPr>
          <w:rFonts w:hint="eastAsia" w:eastAsia="方正仿宋_GBK" w:cs="方正仿宋_GBK"/>
          <w:color w:val="auto"/>
          <w:sz w:val="33"/>
          <w:szCs w:val="33"/>
          <w:lang w:val="en"/>
        </w:rPr>
        <w:t>宣传部门</w:t>
      </w:r>
      <w:r>
        <w:rPr>
          <w:rFonts w:hint="eastAsia" w:eastAsia="方正仿宋_GBK" w:cs="方正仿宋_GBK"/>
          <w:color w:val="auto"/>
          <w:sz w:val="33"/>
          <w:szCs w:val="33"/>
        </w:rPr>
        <w:t>应当会同红色资源主管部门至少每五年开展一次红色资源调查。</w:t>
      </w:r>
    </w:p>
    <w:p>
      <w:pPr>
        <w:ind w:firstLine="680" w:firstLineChars="200"/>
        <w:rPr>
          <w:rFonts w:hint="eastAsia" w:eastAsia="方正仿宋_GBK" w:cs="方正仿宋_GBK"/>
          <w:color w:val="auto"/>
          <w:sz w:val="33"/>
          <w:szCs w:val="33"/>
        </w:rPr>
      </w:pPr>
      <w:r>
        <w:rPr>
          <w:rFonts w:hint="eastAsia" w:eastAsia="方正仿宋_GBK" w:cs="方正仿宋_GBK"/>
          <w:color w:val="auto"/>
          <w:sz w:val="33"/>
          <w:szCs w:val="33"/>
        </w:rPr>
        <w:t>公民、法人和其他组织提供</w:t>
      </w:r>
      <w:r>
        <w:rPr>
          <w:rFonts w:hint="eastAsia" w:eastAsia="方正仿宋_GBK" w:cs="方正仿宋_GBK"/>
          <w:color w:val="auto"/>
          <w:sz w:val="33"/>
          <w:szCs w:val="33"/>
          <w:lang w:val="en-US" w:eastAsia="zh-CN"/>
        </w:rPr>
        <w:t>红色资源</w:t>
      </w:r>
      <w:r>
        <w:rPr>
          <w:rFonts w:hint="eastAsia" w:eastAsia="方正仿宋_GBK" w:cs="方正仿宋_GBK"/>
          <w:color w:val="auto"/>
          <w:sz w:val="33"/>
          <w:szCs w:val="33"/>
        </w:rPr>
        <w:t>信息、线索</w:t>
      </w:r>
      <w:r>
        <w:rPr>
          <w:rFonts w:hint="eastAsia" w:eastAsia="方正仿宋_GBK" w:cs="方正仿宋_GBK"/>
          <w:color w:val="auto"/>
          <w:sz w:val="33"/>
          <w:szCs w:val="33"/>
          <w:lang w:val="en-US" w:eastAsia="zh-CN"/>
        </w:rPr>
        <w:t>的，</w:t>
      </w:r>
      <w:r>
        <w:rPr>
          <w:rFonts w:hint="eastAsia" w:eastAsia="方正仿宋_GBK" w:cs="方正仿宋_GBK"/>
          <w:color w:val="auto"/>
          <w:sz w:val="33"/>
          <w:szCs w:val="33"/>
        </w:rPr>
        <w:t>红色资源主管部门</w:t>
      </w:r>
      <w:r>
        <w:rPr>
          <w:rFonts w:hint="eastAsia" w:eastAsia="方正仿宋_GBK" w:cs="方正仿宋_GBK"/>
          <w:color w:val="auto"/>
          <w:sz w:val="33"/>
          <w:szCs w:val="33"/>
          <w:lang w:val="en-US" w:eastAsia="zh-CN"/>
        </w:rPr>
        <w:t>应当</w:t>
      </w:r>
      <w:r>
        <w:rPr>
          <w:rFonts w:hint="eastAsia" w:eastAsia="方正仿宋_GBK" w:cs="方正仿宋_GBK"/>
          <w:color w:val="auto"/>
          <w:sz w:val="33"/>
          <w:szCs w:val="33"/>
        </w:rPr>
        <w:t>开展调查。</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对于具有紧密关联、重要价值的跨县域红色资源，由市级红色资源主管部门组织调查。</w:t>
      </w:r>
    </w:p>
    <w:p>
      <w:pPr>
        <w:pStyle w:val="10"/>
        <w:rPr>
          <w:rFonts w:hint="eastAsia" w:eastAsia="方正仿宋_GBK" w:cs="方正仿宋_GBK"/>
          <w:color w:val="auto"/>
          <w:sz w:val="33"/>
          <w:szCs w:val="33"/>
        </w:rPr>
      </w:pPr>
    </w:p>
    <w:p>
      <w:pPr>
        <w:overflowPunct w:val="0"/>
        <w:autoSpaceDE w:val="0"/>
        <w:autoSpaceDN w:val="0"/>
        <w:adjustRightInd w:val="0"/>
        <w:snapToGrid w:val="0"/>
        <w:spacing w:line="590" w:lineRule="exact"/>
        <w:ind w:firstLine="680" w:firstLineChars="200"/>
        <w:outlineLvl w:val="1"/>
        <w:rPr>
          <w:rFonts w:hint="eastAsia" w:ascii="方正楷体_GBK" w:hAnsi="方正楷体_GBK" w:eastAsia="方正楷体_GBK" w:cs="方正楷体_GBK"/>
          <w:b/>
          <w:bCs/>
          <w:color w:val="auto"/>
          <w:sz w:val="33"/>
          <w:szCs w:val="33"/>
        </w:rPr>
      </w:pPr>
      <w:bookmarkStart w:id="25" w:name="_Toc162253102"/>
      <w:bookmarkStart w:id="26" w:name="_Toc4960"/>
      <w:bookmarkStart w:id="27" w:name="_Toc25633"/>
      <w:r>
        <w:rPr>
          <w:rFonts w:hint="eastAsia" w:ascii="方正楷体_GBK" w:hAnsi="方正楷体_GBK" w:eastAsia="方正楷体_GBK" w:cs="方正楷体_GBK"/>
          <w:b/>
          <w:bCs/>
          <w:color w:val="auto"/>
          <w:sz w:val="33"/>
          <w:szCs w:val="33"/>
        </w:rPr>
        <w:t>第</w:t>
      </w:r>
      <w:r>
        <w:rPr>
          <w:rFonts w:hint="eastAsia" w:ascii="方正楷体_GBK" w:hAnsi="方正楷体_GBK" w:eastAsia="方正楷体_GBK" w:cs="方正楷体_GBK"/>
          <w:b/>
          <w:bCs/>
          <w:color w:val="auto"/>
          <w:sz w:val="33"/>
          <w:szCs w:val="33"/>
          <w:lang w:eastAsia="zh-CN"/>
        </w:rPr>
        <w:t>十</w:t>
      </w:r>
      <w:r>
        <w:rPr>
          <w:rFonts w:hint="eastAsia" w:ascii="方正楷体_GBK" w:hAnsi="方正楷体_GBK" w:eastAsia="方正楷体_GBK" w:cs="方正楷体_GBK"/>
          <w:b/>
          <w:bCs/>
          <w:color w:val="auto"/>
          <w:sz w:val="33"/>
          <w:szCs w:val="33"/>
        </w:rPr>
        <w:t>条【红色资源认定申请】</w:t>
      </w:r>
      <w:bookmarkEnd w:id="25"/>
      <w:bookmarkEnd w:id="26"/>
      <w:bookmarkEnd w:id="27"/>
    </w:p>
    <w:p>
      <w:pPr>
        <w:overflowPunct w:val="0"/>
        <w:autoSpaceDE w:val="0"/>
        <w:autoSpaceDN w:val="0"/>
        <w:adjustRightInd w:val="0"/>
        <w:spacing w:line="590" w:lineRule="exact"/>
        <w:ind w:firstLine="680" w:firstLineChars="200"/>
        <w:rPr>
          <w:rFonts w:hint="eastAsia" w:eastAsia="方正仿宋_GBK" w:cs="方正仿宋_GBK"/>
          <w:color w:val="auto"/>
          <w:sz w:val="33"/>
          <w:szCs w:val="33"/>
        </w:rPr>
      </w:pPr>
      <w:r>
        <w:rPr>
          <w:rFonts w:hint="eastAsia" w:eastAsia="方正仿宋_GBK" w:cs="方正仿宋_GBK"/>
          <w:color w:val="auto"/>
          <w:sz w:val="33"/>
          <w:szCs w:val="33"/>
        </w:rPr>
        <w:t>申请认定红色资源的，由其所有人或者使用人按照红色资源类别向当地县级红色资源主管部门提交认定申请。由红色资源使用人申请认定的，应当征得其所有人同意。</w:t>
      </w:r>
    </w:p>
    <w:p>
      <w:pPr>
        <w:overflowPunct w:val="0"/>
        <w:autoSpaceDE w:val="0"/>
        <w:autoSpaceDN w:val="0"/>
        <w:adjustRightInd w:val="0"/>
        <w:spacing w:line="590" w:lineRule="exact"/>
        <w:ind w:firstLine="680" w:firstLineChars="200"/>
        <w:rPr>
          <w:rFonts w:hint="eastAsia" w:eastAsia="方正仿宋_GBK" w:cs="方正仿宋_GBK"/>
          <w:color w:val="auto"/>
          <w:sz w:val="33"/>
          <w:szCs w:val="33"/>
        </w:rPr>
      </w:pPr>
      <w:r>
        <w:rPr>
          <w:rFonts w:hint="eastAsia" w:eastAsia="方正仿宋_GBK" w:cs="方正仿宋_GBK"/>
          <w:color w:val="auto"/>
          <w:sz w:val="33"/>
          <w:szCs w:val="33"/>
        </w:rPr>
        <w:t>对申请材料齐全</w:t>
      </w:r>
      <w:r>
        <w:rPr>
          <w:rFonts w:hint="eastAsia" w:eastAsia="方正仿宋_GBK" w:cs="方正仿宋_GBK"/>
          <w:color w:val="auto"/>
          <w:sz w:val="33"/>
          <w:szCs w:val="33"/>
          <w:lang w:eastAsia="zh-CN"/>
        </w:rPr>
        <w:t>、</w:t>
      </w:r>
      <w:r>
        <w:rPr>
          <w:rFonts w:hint="eastAsia" w:eastAsia="方正仿宋_GBK" w:cs="方正仿宋_GBK"/>
          <w:color w:val="auto"/>
          <w:sz w:val="33"/>
          <w:szCs w:val="33"/>
        </w:rPr>
        <w:t>符合规定并属于本部门职权范围的申请事项，有关主管部门应当受理；对不属于本部门职权范围的申请事项，应告知申请人向有关部门提出申请。</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县级红色资源主管部门在受理红色资源认定申请后，应当组织召开专家论证会进行论证，必要时组织开展实地调查或者现场勘查。</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有关单位或者个人认为红色资源应当进行认定保护的，可以向所在地红色资源主管部门提出建议，并提供相关依据。</w:t>
      </w:r>
    </w:p>
    <w:p>
      <w:pPr>
        <w:overflowPunct w:val="0"/>
        <w:autoSpaceDE w:val="0"/>
        <w:autoSpaceDN w:val="0"/>
        <w:adjustRightInd w:val="0"/>
        <w:snapToGrid w:val="0"/>
        <w:spacing w:line="590" w:lineRule="exact"/>
        <w:ind w:firstLine="680" w:firstLineChars="200"/>
        <w:outlineLvl w:val="1"/>
        <w:rPr>
          <w:rFonts w:hint="eastAsia" w:ascii="方正楷体_GBK" w:hAnsi="方正楷体_GBK" w:eastAsia="方正楷体_GBK" w:cs="方正楷体_GBK"/>
          <w:b/>
          <w:bCs/>
          <w:color w:val="auto"/>
          <w:sz w:val="33"/>
          <w:szCs w:val="33"/>
        </w:rPr>
      </w:pPr>
      <w:bookmarkStart w:id="28" w:name="_Toc14146"/>
      <w:bookmarkStart w:id="29" w:name="_Toc28695"/>
      <w:bookmarkStart w:id="30" w:name="_Toc162253103"/>
      <w:r>
        <w:rPr>
          <w:rFonts w:hint="eastAsia" w:ascii="方正楷体_GBK" w:hAnsi="方正楷体_GBK" w:eastAsia="方正楷体_GBK" w:cs="方正楷体_GBK"/>
          <w:b/>
          <w:bCs/>
          <w:color w:val="auto"/>
          <w:sz w:val="33"/>
          <w:szCs w:val="33"/>
        </w:rPr>
        <w:t>第十</w:t>
      </w:r>
      <w:r>
        <w:rPr>
          <w:rFonts w:hint="eastAsia" w:ascii="方正楷体_GBK" w:hAnsi="方正楷体_GBK" w:eastAsia="方正楷体_GBK" w:cs="方正楷体_GBK"/>
          <w:b/>
          <w:bCs/>
          <w:color w:val="auto"/>
          <w:sz w:val="33"/>
          <w:szCs w:val="33"/>
          <w:lang w:eastAsia="zh-CN"/>
        </w:rPr>
        <w:t>一</w:t>
      </w:r>
      <w:r>
        <w:rPr>
          <w:rFonts w:hint="eastAsia" w:ascii="方正楷体_GBK" w:hAnsi="方正楷体_GBK" w:eastAsia="方正楷体_GBK" w:cs="方正楷体_GBK"/>
          <w:b/>
          <w:bCs/>
          <w:color w:val="auto"/>
          <w:sz w:val="33"/>
          <w:szCs w:val="33"/>
        </w:rPr>
        <w:t>条【红色资源认定程序】</w:t>
      </w:r>
      <w:bookmarkEnd w:id="28"/>
      <w:bookmarkEnd w:id="29"/>
      <w:bookmarkEnd w:id="30"/>
    </w:p>
    <w:p>
      <w:pPr>
        <w:pStyle w:val="10"/>
        <w:spacing w:line="590" w:lineRule="exact"/>
        <w:ind w:firstLine="680" w:firstLineChars="200"/>
        <w:jc w:val="both"/>
        <w:rPr>
          <w:rFonts w:hint="eastAsia" w:eastAsia="方正仿宋_GBK" w:cs="方正仿宋_GBK"/>
          <w:color w:val="auto"/>
          <w:sz w:val="33"/>
          <w:szCs w:val="33"/>
        </w:rPr>
      </w:pPr>
      <w:bookmarkStart w:id="31" w:name="_Toc31399"/>
      <w:bookmarkStart w:id="32" w:name="_Toc162253105"/>
      <w:bookmarkStart w:id="33" w:name="_Toc2437"/>
      <w:r>
        <w:rPr>
          <w:rFonts w:hint="eastAsia" w:eastAsia="方正仿宋_GBK" w:cs="方正仿宋_GBK"/>
          <w:color w:val="auto"/>
          <w:sz w:val="33"/>
          <w:szCs w:val="33"/>
        </w:rPr>
        <w:t>红色资源认定应当按照下列程序进行：</w:t>
      </w:r>
    </w:p>
    <w:p>
      <w:pPr>
        <w:pStyle w:val="10"/>
        <w:spacing w:line="590" w:lineRule="exact"/>
        <w:ind w:firstLine="680" w:firstLineChars="200"/>
        <w:jc w:val="both"/>
        <w:rPr>
          <w:rFonts w:hint="eastAsia" w:eastAsia="方正仿宋_GBK" w:cs="方正仿宋_GBK"/>
          <w:color w:val="auto"/>
          <w:sz w:val="33"/>
          <w:szCs w:val="33"/>
        </w:rPr>
      </w:pPr>
      <w:r>
        <w:rPr>
          <w:rFonts w:hint="eastAsia" w:eastAsia="方正仿宋_GBK" w:cs="方正仿宋_GBK"/>
          <w:color w:val="auto"/>
          <w:sz w:val="33"/>
          <w:szCs w:val="33"/>
        </w:rPr>
        <w:t>（一）市、县级红色资源主管部门按照红色资源认定标准，根据</w:t>
      </w:r>
      <w:r>
        <w:rPr>
          <w:rFonts w:hint="eastAsia" w:eastAsia="方正仿宋_GBK" w:cs="方正仿宋_GBK"/>
          <w:color w:val="auto"/>
          <w:sz w:val="33"/>
          <w:szCs w:val="33"/>
          <w:lang w:val="en-US" w:eastAsia="zh-CN"/>
        </w:rPr>
        <w:t>申请和</w:t>
      </w:r>
      <w:r>
        <w:rPr>
          <w:rFonts w:hint="eastAsia" w:eastAsia="方正仿宋_GBK" w:cs="方正仿宋_GBK"/>
          <w:color w:val="auto"/>
          <w:sz w:val="33"/>
          <w:szCs w:val="33"/>
        </w:rPr>
        <w:t xml:space="preserve">调查情况，提出市、县级拟列入红色资源名录的意见，提交同级联席会议审议，拟订红色资源名录建议名单； </w:t>
      </w:r>
    </w:p>
    <w:p>
      <w:pPr>
        <w:pStyle w:val="10"/>
        <w:spacing w:line="590" w:lineRule="exact"/>
        <w:ind w:firstLine="680" w:firstLineChars="200"/>
        <w:jc w:val="both"/>
        <w:rPr>
          <w:rFonts w:hint="eastAsia" w:eastAsia="方正仿宋_GBK" w:cs="方正仿宋_GBK"/>
          <w:color w:val="auto"/>
          <w:sz w:val="33"/>
          <w:szCs w:val="33"/>
        </w:rPr>
      </w:pPr>
      <w:r>
        <w:rPr>
          <w:rFonts w:hint="eastAsia" w:eastAsia="方正仿宋_GBK" w:cs="方正仿宋_GBK"/>
          <w:color w:val="auto"/>
          <w:sz w:val="33"/>
          <w:szCs w:val="33"/>
        </w:rPr>
        <w:t>（二）宣传部门将红色资源名录建议名单向社会公示，公示时间不得少于三十日；</w:t>
      </w:r>
    </w:p>
    <w:p>
      <w:pPr>
        <w:pStyle w:val="10"/>
        <w:spacing w:line="590" w:lineRule="exact"/>
        <w:ind w:firstLine="680" w:firstLineChars="200"/>
        <w:jc w:val="both"/>
        <w:rPr>
          <w:rFonts w:hint="eastAsia" w:eastAsia="方正仿宋_GBK" w:cs="方正仿宋_GBK"/>
          <w:color w:val="auto"/>
          <w:sz w:val="33"/>
          <w:szCs w:val="33"/>
        </w:rPr>
      </w:pPr>
      <w:r>
        <w:rPr>
          <w:rFonts w:hint="eastAsia" w:eastAsia="方正仿宋_GBK" w:cs="方正仿宋_GBK"/>
          <w:color w:val="auto"/>
          <w:sz w:val="33"/>
          <w:szCs w:val="33"/>
        </w:rPr>
        <w:t>（三）公示期满后，由同级人民政府核定公布红色资源名录。</w:t>
      </w:r>
    </w:p>
    <w:p>
      <w:pPr>
        <w:pStyle w:val="10"/>
        <w:spacing w:line="590" w:lineRule="exact"/>
        <w:ind w:firstLine="680" w:firstLineChars="200"/>
        <w:jc w:val="both"/>
        <w:rPr>
          <w:rFonts w:hint="eastAsia" w:eastAsia="方正仿宋_GBK" w:cs="方正仿宋_GBK"/>
          <w:color w:val="auto"/>
          <w:sz w:val="33"/>
          <w:szCs w:val="33"/>
        </w:rPr>
      </w:pPr>
      <w:r>
        <w:rPr>
          <w:rFonts w:hint="eastAsia" w:eastAsia="方正仿宋_GBK" w:cs="方正仿宋_GBK"/>
          <w:color w:val="auto"/>
          <w:sz w:val="33"/>
          <w:szCs w:val="33"/>
          <w:lang w:eastAsia="zh-CN"/>
        </w:rPr>
        <w:t>有关</w:t>
      </w:r>
      <w:r>
        <w:rPr>
          <w:rFonts w:hint="eastAsia" w:eastAsia="方正仿宋_GBK" w:cs="方正仿宋_GBK"/>
          <w:color w:val="auto"/>
          <w:sz w:val="33"/>
          <w:szCs w:val="33"/>
        </w:rPr>
        <w:t>红色资源主管部门</w:t>
      </w:r>
      <w:r>
        <w:rPr>
          <w:rFonts w:hint="eastAsia" w:eastAsia="方正仿宋_GBK" w:cs="方正仿宋_GBK"/>
          <w:color w:val="auto"/>
          <w:sz w:val="33"/>
          <w:szCs w:val="33"/>
          <w:lang w:eastAsia="zh-CN"/>
        </w:rPr>
        <w:t>对</w:t>
      </w:r>
      <w:r>
        <w:rPr>
          <w:rFonts w:hint="eastAsia" w:eastAsia="方正仿宋_GBK" w:cs="方正仿宋_GBK"/>
          <w:color w:val="auto"/>
          <w:sz w:val="33"/>
          <w:szCs w:val="33"/>
        </w:rPr>
        <w:t>公示</w:t>
      </w:r>
      <w:r>
        <w:rPr>
          <w:rFonts w:hint="eastAsia" w:eastAsia="方正仿宋_GBK" w:cs="方正仿宋_GBK"/>
          <w:color w:val="auto"/>
          <w:sz w:val="33"/>
          <w:szCs w:val="33"/>
          <w:lang w:eastAsia="zh-CN"/>
        </w:rPr>
        <w:t>期</w:t>
      </w:r>
      <w:r>
        <w:rPr>
          <w:rFonts w:hint="eastAsia" w:eastAsia="方正仿宋_GBK" w:cs="方正仿宋_GBK"/>
          <w:color w:val="auto"/>
          <w:sz w:val="33"/>
          <w:szCs w:val="33"/>
        </w:rPr>
        <w:t>间</w:t>
      </w:r>
      <w:r>
        <w:rPr>
          <w:rFonts w:hint="eastAsia" w:eastAsia="方正仿宋_GBK" w:cs="方正仿宋_GBK"/>
          <w:color w:val="auto"/>
          <w:sz w:val="33"/>
          <w:szCs w:val="33"/>
          <w:lang w:eastAsia="zh-CN"/>
        </w:rPr>
        <w:t>提出的异议，应当及时研究处理，</w:t>
      </w:r>
      <w:r>
        <w:rPr>
          <w:rFonts w:hint="eastAsia" w:eastAsia="方正仿宋_GBK" w:cs="方正仿宋_GBK"/>
          <w:color w:val="auto"/>
          <w:sz w:val="33"/>
          <w:szCs w:val="33"/>
        </w:rPr>
        <w:t>并将结果告知</w:t>
      </w:r>
      <w:r>
        <w:rPr>
          <w:rFonts w:hint="eastAsia" w:eastAsia="方正仿宋_GBK" w:cs="方正仿宋_GBK"/>
          <w:color w:val="auto"/>
          <w:sz w:val="33"/>
          <w:szCs w:val="33"/>
          <w:lang w:eastAsia="zh-CN"/>
        </w:rPr>
        <w:t>异议</w:t>
      </w:r>
      <w:r>
        <w:rPr>
          <w:rFonts w:hint="eastAsia" w:eastAsia="方正仿宋_GBK" w:cs="方正仿宋_GBK"/>
          <w:color w:val="auto"/>
          <w:sz w:val="33"/>
          <w:szCs w:val="33"/>
        </w:rPr>
        <w:t>人</w:t>
      </w:r>
      <w:r>
        <w:rPr>
          <w:rFonts w:hint="eastAsia" w:eastAsia="方正仿宋_GBK" w:cs="方正仿宋_GBK"/>
          <w:color w:val="auto"/>
          <w:sz w:val="33"/>
          <w:szCs w:val="33"/>
          <w:lang w:eastAsia="zh-CN"/>
        </w:rPr>
        <w:t>。</w:t>
      </w:r>
      <w:r>
        <w:rPr>
          <w:rFonts w:hint="eastAsia" w:eastAsia="方正仿宋_GBK" w:cs="方正仿宋_GBK"/>
          <w:color w:val="auto"/>
          <w:sz w:val="33"/>
          <w:szCs w:val="33"/>
        </w:rPr>
        <w:t>申请人对认定申请未纳入红色资源名录建议名单有异议的，可以提出书面复核申请</w:t>
      </w:r>
      <w:r>
        <w:rPr>
          <w:rFonts w:hint="eastAsia" w:eastAsia="方正仿宋_GBK" w:cs="方正仿宋_GBK"/>
          <w:color w:val="auto"/>
          <w:sz w:val="33"/>
          <w:szCs w:val="33"/>
          <w:lang w:eastAsia="zh-CN"/>
        </w:rPr>
        <w:t>，宣传部门</w:t>
      </w:r>
      <w:r>
        <w:rPr>
          <w:rFonts w:hint="eastAsia" w:eastAsia="方正仿宋_GBK" w:cs="方正仿宋_GBK"/>
          <w:color w:val="auto"/>
          <w:sz w:val="33"/>
          <w:szCs w:val="33"/>
        </w:rPr>
        <w:t>应当及时</w:t>
      </w:r>
      <w:r>
        <w:rPr>
          <w:rFonts w:hint="eastAsia" w:eastAsia="方正仿宋_GBK" w:cs="方正仿宋_GBK"/>
          <w:color w:val="auto"/>
          <w:sz w:val="33"/>
          <w:szCs w:val="33"/>
          <w:lang w:eastAsia="zh-CN"/>
        </w:rPr>
        <w:t>组织</w:t>
      </w:r>
      <w:r>
        <w:rPr>
          <w:rFonts w:hint="eastAsia" w:eastAsia="方正仿宋_GBK" w:cs="方正仿宋_GBK"/>
          <w:color w:val="auto"/>
          <w:sz w:val="33"/>
          <w:szCs w:val="33"/>
        </w:rPr>
        <w:t>复核。</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县级人民政府应当按照市级红色资源认定标准，提出拟列入市级红色资源名录的意见，提交市级红色资源保护传承联席会议，参照本条第一款规定程序进行认定。</w:t>
      </w:r>
    </w:p>
    <w:p>
      <w:pPr>
        <w:overflowPunct w:val="0"/>
        <w:autoSpaceDE w:val="0"/>
        <w:autoSpaceDN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auto"/>
          <w:sz w:val="33"/>
          <w:szCs w:val="33"/>
        </w:rPr>
      </w:pPr>
      <w:r>
        <w:rPr>
          <w:rFonts w:hint="eastAsia" w:ascii="方正楷体_GBK" w:hAnsi="方正楷体_GBK" w:eastAsia="方正楷体_GBK" w:cs="方正楷体_GBK"/>
          <w:b/>
          <w:bCs/>
          <w:color w:val="auto"/>
          <w:sz w:val="33"/>
          <w:szCs w:val="33"/>
        </w:rPr>
        <w:t>第十</w:t>
      </w:r>
      <w:r>
        <w:rPr>
          <w:rFonts w:hint="eastAsia" w:ascii="方正楷体_GBK" w:hAnsi="方正楷体_GBK" w:eastAsia="方正楷体_GBK" w:cs="方正楷体_GBK"/>
          <w:b/>
          <w:bCs/>
          <w:color w:val="auto"/>
          <w:sz w:val="33"/>
          <w:szCs w:val="33"/>
          <w:lang w:eastAsia="zh-CN"/>
        </w:rPr>
        <w:t>二</w:t>
      </w:r>
      <w:r>
        <w:rPr>
          <w:rFonts w:hint="eastAsia" w:ascii="方正楷体_GBK" w:hAnsi="方正楷体_GBK" w:eastAsia="方正楷体_GBK" w:cs="方正楷体_GBK"/>
          <w:b/>
          <w:bCs/>
          <w:color w:val="auto"/>
          <w:sz w:val="33"/>
          <w:szCs w:val="33"/>
        </w:rPr>
        <w:t>条【红色资源名录退出】</w:t>
      </w:r>
      <w:bookmarkEnd w:id="31"/>
      <w:bookmarkEnd w:id="32"/>
      <w:bookmarkEnd w:id="33"/>
    </w:p>
    <w:p>
      <w:pPr>
        <w:overflowPunct w:val="0"/>
        <w:autoSpaceDE w:val="0"/>
        <w:autoSpaceDN w:val="0"/>
        <w:adjustRightInd w:val="0"/>
        <w:snapToGrid w:val="0"/>
        <w:spacing w:line="590" w:lineRule="exact"/>
        <w:ind w:firstLine="680" w:firstLineChars="200"/>
        <w:textAlignment w:val="baseline"/>
        <w:rPr>
          <w:rFonts w:hint="default"/>
          <w:color w:val="auto"/>
          <w:lang w:val="en-US" w:eastAsia="zh-CN"/>
        </w:rPr>
      </w:pPr>
      <w:bookmarkStart w:id="34" w:name="_Toc117"/>
      <w:bookmarkStart w:id="35" w:name="_Toc162253106"/>
      <w:bookmarkStart w:id="36" w:name="_Toc29450"/>
      <w:r>
        <w:rPr>
          <w:rFonts w:hint="eastAsia" w:eastAsia="方正仿宋_GBK" w:cs="方正仿宋_GBK"/>
          <w:color w:val="auto"/>
          <w:sz w:val="33"/>
          <w:szCs w:val="33"/>
          <w:lang w:val="en-US" w:eastAsia="zh-CN"/>
        </w:rPr>
        <w:t>建立红色资源名录退出机制。因不可抗力导致红色资源毁损灭失或者按照有关法律、法规规定等需要退出红色资源名录的，</w:t>
      </w:r>
      <w:r>
        <w:rPr>
          <w:rFonts w:hint="eastAsia" w:eastAsia="方正仿宋_GBK" w:cs="方正仿宋_GBK"/>
          <w:color w:val="auto"/>
          <w:sz w:val="33"/>
          <w:szCs w:val="33"/>
        </w:rPr>
        <w:t>经市、县级红色资源主管部门调查核实，拟定意见提交同级红色资源保护传承联席会议审议，依照规定由同级人民政府核定后退出红色资源名录</w:t>
      </w:r>
      <w:r>
        <w:rPr>
          <w:rFonts w:hint="eastAsia" w:eastAsia="方正仿宋_GBK" w:cs="方正仿宋_GBK"/>
          <w:color w:val="auto"/>
          <w:sz w:val="33"/>
          <w:szCs w:val="33"/>
          <w:lang w:eastAsia="zh-CN"/>
        </w:rPr>
        <w:t>，</w:t>
      </w:r>
      <w:r>
        <w:rPr>
          <w:rFonts w:hint="eastAsia" w:eastAsia="方正仿宋_GBK" w:cs="方正仿宋_GBK"/>
          <w:color w:val="auto"/>
          <w:sz w:val="33"/>
          <w:szCs w:val="33"/>
          <w:lang w:val="en-US" w:eastAsia="zh-CN"/>
        </w:rPr>
        <w:t>并向社会公布。</w:t>
      </w:r>
    </w:p>
    <w:p>
      <w:pPr>
        <w:overflowPunct w:val="0"/>
        <w:autoSpaceDE w:val="0"/>
        <w:autoSpaceDN w:val="0"/>
        <w:adjustRightInd w:val="0"/>
        <w:snapToGrid w:val="0"/>
        <w:spacing w:line="560" w:lineRule="exact"/>
        <w:ind w:firstLine="680" w:firstLineChars="200"/>
        <w:textAlignment w:val="baseline"/>
        <w:rPr>
          <w:rFonts w:hint="eastAsia" w:ascii="方正楷体_GBK" w:hAnsi="方正楷体_GBK" w:eastAsia="方正楷体_GBK" w:cs="方正楷体_GBK"/>
          <w:b/>
          <w:bCs/>
          <w:color w:val="auto"/>
          <w:sz w:val="33"/>
          <w:szCs w:val="33"/>
        </w:rPr>
      </w:pPr>
      <w:r>
        <w:rPr>
          <w:rFonts w:hint="eastAsia" w:ascii="方正楷体_GBK" w:hAnsi="方正楷体_GBK" w:eastAsia="方正楷体_GBK" w:cs="方正楷体_GBK"/>
          <w:b/>
          <w:bCs/>
          <w:color w:val="auto"/>
          <w:sz w:val="33"/>
          <w:szCs w:val="33"/>
        </w:rPr>
        <w:t>第十</w:t>
      </w:r>
      <w:r>
        <w:rPr>
          <w:rFonts w:hint="eastAsia" w:ascii="方正楷体_GBK" w:hAnsi="方正楷体_GBK" w:eastAsia="方正楷体_GBK" w:cs="方正楷体_GBK"/>
          <w:b/>
          <w:bCs/>
          <w:color w:val="auto"/>
          <w:sz w:val="33"/>
          <w:szCs w:val="33"/>
          <w:lang w:eastAsia="zh-CN"/>
        </w:rPr>
        <w:t>三</w:t>
      </w:r>
      <w:r>
        <w:rPr>
          <w:rFonts w:hint="eastAsia" w:ascii="方正楷体_GBK" w:hAnsi="方正楷体_GBK" w:eastAsia="方正楷体_GBK" w:cs="方正楷体_GBK"/>
          <w:b/>
          <w:bCs/>
          <w:color w:val="auto"/>
          <w:sz w:val="33"/>
          <w:szCs w:val="33"/>
        </w:rPr>
        <w:t>条【红色资源档案与数据库建设】</w:t>
      </w:r>
      <w:bookmarkEnd w:id="34"/>
      <w:bookmarkEnd w:id="35"/>
      <w:bookmarkEnd w:id="36"/>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bookmarkStart w:id="37" w:name="_Toc162253107"/>
      <w:r>
        <w:rPr>
          <w:rFonts w:hint="eastAsia" w:eastAsia="方正仿宋_GBK" w:cs="方正仿宋_GBK"/>
          <w:color w:val="auto"/>
          <w:sz w:val="33"/>
          <w:szCs w:val="33"/>
        </w:rPr>
        <w:t>市、县级红色资源主管部门应当会同档案部门完善管理机制，对列入和退出名录的红色资源登记建档。</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bookmarkStart w:id="38" w:name="_Hlk174646515"/>
      <w:r>
        <w:rPr>
          <w:rFonts w:hint="eastAsia" w:eastAsia="方正仿宋_GBK" w:cs="方正仿宋_GBK"/>
          <w:color w:val="auto"/>
          <w:sz w:val="33"/>
          <w:szCs w:val="33"/>
        </w:rPr>
        <w:t>市人民政府应当建立统一的红色资源数据库，市、县级红色资源主管部门按照各自职责做好红色资源的数据采集归集、目录编制、更新维护和安全管理等工作，</w:t>
      </w:r>
      <w:bookmarkEnd w:id="38"/>
      <w:r>
        <w:rPr>
          <w:rFonts w:hint="eastAsia" w:eastAsia="方正仿宋_GBK" w:cs="方正仿宋_GBK"/>
          <w:color w:val="auto"/>
          <w:sz w:val="33"/>
          <w:szCs w:val="33"/>
        </w:rPr>
        <w:t>加强数字化建设及成果运用，推进共建共享。</w:t>
      </w:r>
    </w:p>
    <w:p>
      <w:pPr>
        <w:overflowPunct w:val="0"/>
        <w:autoSpaceDE w:val="0"/>
        <w:autoSpaceDN w:val="0"/>
        <w:adjustRightInd w:val="0"/>
        <w:snapToGrid w:val="0"/>
        <w:spacing w:line="560" w:lineRule="exact"/>
        <w:ind w:firstLine="660"/>
        <w:outlineLvl w:val="0"/>
        <w:rPr>
          <w:rFonts w:ascii="方正黑体_GBK" w:hAnsi="方正黑体_GBK" w:eastAsia="方正黑体_GBK" w:cs="方正黑体_GBK"/>
          <w:color w:val="auto"/>
          <w:kern w:val="44"/>
          <w:sz w:val="33"/>
          <w:szCs w:val="33"/>
        </w:rPr>
      </w:pPr>
    </w:p>
    <w:p>
      <w:pPr>
        <w:overflowPunct w:val="0"/>
        <w:autoSpaceDE w:val="0"/>
        <w:autoSpaceDN w:val="0"/>
        <w:adjustRightInd w:val="0"/>
        <w:snapToGrid w:val="0"/>
        <w:spacing w:line="560" w:lineRule="exact"/>
        <w:jc w:val="center"/>
        <w:outlineLvl w:val="0"/>
        <w:rPr>
          <w:rFonts w:ascii="方正黑体_GBK" w:hAnsi="方正黑体_GBK" w:eastAsia="方正黑体_GBK" w:cs="方正黑体_GBK"/>
          <w:color w:val="auto"/>
          <w:kern w:val="44"/>
          <w:sz w:val="33"/>
          <w:szCs w:val="33"/>
          <w:lang w:val="en"/>
        </w:rPr>
      </w:pPr>
      <w:bookmarkStart w:id="39" w:name="_Toc25435"/>
      <w:bookmarkStart w:id="40" w:name="_Toc5975"/>
      <w:r>
        <w:rPr>
          <w:rFonts w:hint="eastAsia" w:ascii="方正黑体_GBK" w:hAnsi="方正黑体_GBK" w:eastAsia="方正黑体_GBK" w:cs="方正黑体_GBK"/>
          <w:color w:val="auto"/>
          <w:kern w:val="44"/>
          <w:sz w:val="33"/>
          <w:szCs w:val="33"/>
        </w:rPr>
        <w:t>第三章 保护</w:t>
      </w:r>
      <w:bookmarkEnd w:id="37"/>
      <w:bookmarkEnd w:id="39"/>
      <w:bookmarkEnd w:id="40"/>
      <w:r>
        <w:rPr>
          <w:rFonts w:ascii="方正黑体_GBK" w:hAnsi="方正黑体_GBK" w:eastAsia="方正黑体_GBK" w:cs="方正黑体_GBK"/>
          <w:color w:val="auto"/>
          <w:kern w:val="44"/>
          <w:sz w:val="33"/>
          <w:szCs w:val="33"/>
          <w:lang w:val="en"/>
        </w:rPr>
        <w:t>管理</w:t>
      </w:r>
    </w:p>
    <w:p>
      <w:pPr>
        <w:snapToGrid w:val="0"/>
        <w:spacing w:line="560" w:lineRule="exact"/>
        <w:rPr>
          <w:rFonts w:eastAsia="方正仿宋_GBK"/>
          <w:color w:val="auto"/>
          <w:sz w:val="33"/>
          <w:szCs w:val="33"/>
        </w:rPr>
      </w:pPr>
    </w:p>
    <w:p>
      <w:pPr>
        <w:overflowPunct w:val="0"/>
        <w:autoSpaceDE w:val="0"/>
        <w:autoSpaceDN w:val="0"/>
        <w:adjustRightInd w:val="0"/>
        <w:snapToGrid w:val="0"/>
        <w:spacing w:line="560" w:lineRule="exact"/>
        <w:ind w:firstLine="680" w:firstLineChars="200"/>
        <w:textAlignment w:val="baseline"/>
        <w:rPr>
          <w:rFonts w:hint="eastAsia" w:ascii="方正楷体_GBK" w:hAnsi="方正楷体_GBK" w:eastAsia="方正楷体_GBK" w:cs="方正楷体_GBK"/>
          <w:b/>
          <w:bCs/>
          <w:color w:val="auto"/>
          <w:sz w:val="33"/>
          <w:szCs w:val="33"/>
        </w:rPr>
      </w:pPr>
      <w:r>
        <w:rPr>
          <w:rFonts w:hint="eastAsia" w:ascii="方正楷体_GBK" w:hAnsi="方正楷体_GBK" w:eastAsia="方正楷体_GBK" w:cs="方正楷体_GBK"/>
          <w:b/>
          <w:bCs/>
          <w:color w:val="auto"/>
          <w:sz w:val="33"/>
          <w:szCs w:val="33"/>
        </w:rPr>
        <w:t>第十</w:t>
      </w:r>
      <w:r>
        <w:rPr>
          <w:rFonts w:hint="eastAsia" w:ascii="方正楷体_GBK" w:hAnsi="方正楷体_GBK" w:eastAsia="方正楷体_GBK" w:cs="方正楷体_GBK"/>
          <w:b/>
          <w:bCs/>
          <w:color w:val="auto"/>
          <w:sz w:val="33"/>
          <w:szCs w:val="33"/>
          <w:lang w:eastAsia="zh-CN"/>
        </w:rPr>
        <w:t>四</w:t>
      </w:r>
      <w:r>
        <w:rPr>
          <w:rFonts w:hint="eastAsia" w:ascii="方正楷体_GBK" w:hAnsi="方正楷体_GBK" w:eastAsia="方正楷体_GBK" w:cs="方正楷体_GBK"/>
          <w:b/>
          <w:bCs/>
          <w:color w:val="auto"/>
          <w:sz w:val="33"/>
          <w:szCs w:val="33"/>
        </w:rPr>
        <w:t>条【红色资源保护总体要求】</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b/>
          <w:bCs/>
          <w:color w:val="auto"/>
          <w:sz w:val="33"/>
          <w:szCs w:val="33"/>
          <w:lang w:eastAsia="zh-CN"/>
        </w:rPr>
      </w:pPr>
      <w:bookmarkStart w:id="41" w:name="_Hlk171602832"/>
      <w:r>
        <w:rPr>
          <w:rFonts w:hint="eastAsia" w:ascii="Times New Roman" w:hAnsi="Times New Roman" w:eastAsia="方正仿宋_GBK" w:cs="方正仿宋_GBK"/>
          <w:color w:val="auto"/>
          <w:sz w:val="33"/>
          <w:szCs w:val="33"/>
          <w:lang w:val="en-US" w:eastAsia="zh-CN"/>
        </w:rPr>
        <w:t>红色资源保护实行抢救性保护和预防性保护、本体保护和周边保护、单点保护和集群保护相结合</w:t>
      </w:r>
      <w:bookmarkStart w:id="42" w:name="_Hlk174646671"/>
      <w:r>
        <w:rPr>
          <w:rFonts w:hint="eastAsia" w:ascii="Times New Roman" w:hAnsi="Times New Roman" w:eastAsia="方正仿宋_GBK" w:cs="方正仿宋_GBK"/>
          <w:color w:val="auto"/>
          <w:sz w:val="33"/>
          <w:szCs w:val="33"/>
          <w:lang w:eastAsia="zh-CN"/>
        </w:rPr>
        <w:t>，维护红色资源的历史真实性、风貌完整性和文化延续性。</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市、县级人民政府应当统筹协调红色资源保护与经济社会发展，组织制定红色资源分类分级保护措施</w:t>
      </w:r>
      <w:bookmarkEnd w:id="42"/>
      <w:r>
        <w:rPr>
          <w:rFonts w:hint="eastAsia" w:eastAsia="方正仿宋_GBK" w:cs="方正仿宋_GBK"/>
          <w:color w:val="auto"/>
          <w:sz w:val="33"/>
          <w:szCs w:val="33"/>
        </w:rPr>
        <w:t>。</w:t>
      </w:r>
    </w:p>
    <w:bookmarkEnd w:id="41"/>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lang w:eastAsia="zh-CN"/>
        </w:rPr>
      </w:pPr>
      <w:r>
        <w:rPr>
          <w:rFonts w:hint="eastAsia" w:eastAsia="方正仿宋_GBK" w:cs="方正仿宋_GBK"/>
          <w:color w:val="auto"/>
          <w:sz w:val="33"/>
          <w:szCs w:val="33"/>
        </w:rPr>
        <w:t>市、县级人民政府</w:t>
      </w:r>
      <w:r>
        <w:rPr>
          <w:rFonts w:eastAsia="方正仿宋_GBK" w:cs="方正仿宋_GBK"/>
          <w:color w:val="auto"/>
          <w:sz w:val="33"/>
          <w:szCs w:val="33"/>
        </w:rPr>
        <w:t>编制</w:t>
      </w:r>
      <w:r>
        <w:rPr>
          <w:rFonts w:hint="eastAsia" w:eastAsia="方正仿宋_GBK" w:cs="方正仿宋_GBK"/>
          <w:color w:val="auto"/>
          <w:sz w:val="33"/>
          <w:szCs w:val="33"/>
        </w:rPr>
        <w:t>历史文化名城名镇名村、风景名胜区、传统村落以及文化旅游等专项规划时，</w:t>
      </w:r>
      <w:r>
        <w:rPr>
          <w:rFonts w:eastAsia="方正仿宋_GBK" w:cs="方正仿宋_GBK"/>
          <w:color w:val="auto"/>
          <w:sz w:val="33"/>
          <w:szCs w:val="33"/>
        </w:rPr>
        <w:t>应当体现红色资源保护传承的</w:t>
      </w:r>
      <w:r>
        <w:rPr>
          <w:rFonts w:hint="eastAsia" w:eastAsia="方正仿宋_GBK" w:cs="方正仿宋_GBK"/>
          <w:color w:val="auto"/>
          <w:sz w:val="33"/>
          <w:szCs w:val="33"/>
        </w:rPr>
        <w:t>要求。</w:t>
      </w:r>
    </w:p>
    <w:p>
      <w:pPr>
        <w:overflowPunct w:val="0"/>
        <w:autoSpaceDE w:val="0"/>
        <w:autoSpaceDN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auto"/>
          <w:sz w:val="33"/>
          <w:szCs w:val="33"/>
        </w:rPr>
      </w:pPr>
      <w:r>
        <w:rPr>
          <w:rFonts w:hint="eastAsia" w:ascii="方正楷体_GBK" w:hAnsi="方正楷体_GBK" w:eastAsia="方正楷体_GBK" w:cs="方正楷体_GBK"/>
          <w:b/>
          <w:bCs/>
          <w:color w:val="auto"/>
          <w:sz w:val="33"/>
          <w:szCs w:val="33"/>
        </w:rPr>
        <w:t>第十</w:t>
      </w:r>
      <w:r>
        <w:rPr>
          <w:rFonts w:hint="eastAsia" w:ascii="方正楷体_GBK" w:hAnsi="方正楷体_GBK" w:eastAsia="方正楷体_GBK" w:cs="方正楷体_GBK"/>
          <w:b/>
          <w:bCs/>
          <w:color w:val="auto"/>
          <w:sz w:val="33"/>
          <w:szCs w:val="33"/>
          <w:lang w:eastAsia="zh-CN"/>
        </w:rPr>
        <w:t>五</w:t>
      </w:r>
      <w:r>
        <w:rPr>
          <w:rFonts w:hint="eastAsia" w:ascii="方正楷体_GBK" w:hAnsi="方正楷体_GBK" w:eastAsia="方正楷体_GBK" w:cs="方正楷体_GBK"/>
          <w:b/>
          <w:bCs/>
          <w:color w:val="auto"/>
          <w:sz w:val="33"/>
          <w:szCs w:val="33"/>
        </w:rPr>
        <w:t>条【红色资源保护责任人】</w:t>
      </w:r>
    </w:p>
    <w:p>
      <w:pPr>
        <w:overflowPunct w:val="0"/>
        <w:autoSpaceDE w:val="0"/>
        <w:autoSpaceDN w:val="0"/>
        <w:adjustRightInd w:val="0"/>
        <w:snapToGrid w:val="0"/>
        <w:spacing w:line="590" w:lineRule="exact"/>
        <w:ind w:firstLine="680" w:firstLineChars="200"/>
        <w:textAlignment w:val="baseline"/>
        <w:rPr>
          <w:rFonts w:hint="eastAsia"/>
          <w:color w:val="auto"/>
        </w:rPr>
      </w:pPr>
      <w:r>
        <w:rPr>
          <w:rFonts w:hint="eastAsia" w:eastAsia="方正仿宋_GBK" w:cs="方正仿宋_GBK"/>
          <w:color w:val="auto"/>
          <w:sz w:val="33"/>
          <w:szCs w:val="33"/>
        </w:rPr>
        <w:t>红色物质资源实行保护责任人制度。红色物质资源所有人或者使用人为保护责任人；权属不明确的，由县级人民政府指定保护责任人，或者所在地乡（镇）人民政府、街道办事处为保护责任人；对</w:t>
      </w:r>
      <w:bookmarkStart w:id="43" w:name="_Hlk174646790"/>
      <w:r>
        <w:rPr>
          <w:rFonts w:hint="eastAsia" w:eastAsia="方正仿宋_GBK" w:cs="方正仿宋_GBK"/>
          <w:color w:val="auto"/>
          <w:sz w:val="33"/>
          <w:szCs w:val="33"/>
        </w:rPr>
        <w:t>跨县域红色资源保护责任人有争议的，由市人民政府指定保护责任人</w:t>
      </w:r>
      <w:bookmarkEnd w:id="43"/>
      <w:r>
        <w:rPr>
          <w:rFonts w:hint="eastAsia" w:eastAsia="方正仿宋_GBK" w:cs="方正仿宋_GBK"/>
          <w:color w:val="auto"/>
          <w:sz w:val="33"/>
          <w:szCs w:val="33"/>
        </w:rPr>
        <w:t>。</w:t>
      </w:r>
    </w:p>
    <w:p>
      <w:pPr>
        <w:overflowPunct w:val="0"/>
        <w:autoSpaceDE w:val="0"/>
        <w:autoSpaceDN w:val="0"/>
        <w:adjustRightInd w:val="0"/>
        <w:snapToGrid w:val="0"/>
        <w:spacing w:line="590" w:lineRule="exact"/>
        <w:ind w:firstLine="680" w:firstLineChars="200"/>
        <w:outlineLvl w:val="1"/>
        <w:rPr>
          <w:rFonts w:hint="eastAsia" w:eastAsia="方正仿宋_GBK" w:cs="方正仿宋_GBK"/>
          <w:color w:val="auto"/>
          <w:sz w:val="33"/>
          <w:szCs w:val="33"/>
        </w:rPr>
      </w:pPr>
      <w:r>
        <w:rPr>
          <w:rFonts w:hint="eastAsia" w:eastAsia="方正仿宋_GBK" w:cs="方正仿宋_GBK"/>
          <w:color w:val="auto"/>
          <w:sz w:val="33"/>
          <w:szCs w:val="33"/>
        </w:rPr>
        <w:t>红色物质资源保护责任人应当按照规定履行责任。</w:t>
      </w:r>
    </w:p>
    <w:p>
      <w:pPr>
        <w:overflowPunct w:val="0"/>
        <w:autoSpaceDE w:val="0"/>
        <w:autoSpaceDN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auto"/>
          <w:sz w:val="33"/>
          <w:szCs w:val="33"/>
        </w:rPr>
      </w:pPr>
      <w:r>
        <w:rPr>
          <w:rFonts w:hint="eastAsia" w:ascii="方正楷体_GBK" w:hAnsi="方正楷体_GBK" w:eastAsia="方正楷体_GBK" w:cs="方正楷体_GBK"/>
          <w:b/>
          <w:bCs/>
          <w:color w:val="auto"/>
          <w:sz w:val="33"/>
          <w:szCs w:val="33"/>
        </w:rPr>
        <w:t>第十</w:t>
      </w:r>
      <w:r>
        <w:rPr>
          <w:rFonts w:hint="eastAsia" w:ascii="方正楷体_GBK" w:hAnsi="方正楷体_GBK" w:eastAsia="方正楷体_GBK" w:cs="方正楷体_GBK"/>
          <w:b/>
          <w:bCs/>
          <w:color w:val="auto"/>
          <w:sz w:val="33"/>
          <w:szCs w:val="33"/>
          <w:lang w:eastAsia="zh-CN"/>
        </w:rPr>
        <w:t>六</w:t>
      </w:r>
      <w:r>
        <w:rPr>
          <w:rFonts w:hint="eastAsia" w:ascii="方正楷体_GBK" w:hAnsi="方正楷体_GBK" w:eastAsia="方正楷体_GBK" w:cs="方正楷体_GBK"/>
          <w:b/>
          <w:bCs/>
          <w:color w:val="auto"/>
          <w:sz w:val="33"/>
          <w:szCs w:val="33"/>
        </w:rPr>
        <w:t>条【保护范围和建设控制地带】</w:t>
      </w:r>
    </w:p>
    <w:p>
      <w:pPr>
        <w:overflowPunct w:val="0"/>
        <w:autoSpaceDE w:val="0"/>
        <w:autoSpaceDN w:val="0"/>
        <w:adjustRightInd w:val="0"/>
        <w:snapToGrid w:val="0"/>
        <w:spacing w:line="590" w:lineRule="exact"/>
        <w:ind w:firstLine="680" w:firstLineChars="200"/>
        <w:textAlignment w:val="baseline"/>
        <w:rPr>
          <w:rFonts w:eastAsia="方正仿宋_GBK" w:cs="方正仿宋_GBK"/>
          <w:color w:val="auto"/>
          <w:sz w:val="33"/>
          <w:szCs w:val="33"/>
        </w:rPr>
      </w:pPr>
      <w:r>
        <w:rPr>
          <w:rFonts w:hint="eastAsia" w:eastAsia="方正仿宋_GBK" w:cs="方正仿宋_GBK"/>
          <w:color w:val="auto"/>
          <w:sz w:val="33"/>
          <w:szCs w:val="33"/>
        </w:rPr>
        <w:t>市、县级人民政府根据不可移动红色资源的规模、内容、周边环境的历史和现实情况，合理划定保护范围；并可以根据保护的实际需要，合理划定建设控制地带</w:t>
      </w:r>
      <w:r>
        <w:rPr>
          <w:rFonts w:hint="eastAsia" w:eastAsia="方正仿宋_GBK" w:cs="方正仿宋_GBK"/>
          <w:color w:val="auto"/>
          <w:sz w:val="33"/>
          <w:szCs w:val="33"/>
          <w:lang w:eastAsia="zh-CN"/>
        </w:rPr>
        <w:t>。</w:t>
      </w:r>
      <w:r>
        <w:rPr>
          <w:rFonts w:hint="eastAsia" w:eastAsia="方正仿宋_GBK" w:cs="方正仿宋_GBK"/>
          <w:color w:val="auto"/>
          <w:sz w:val="33"/>
          <w:szCs w:val="33"/>
        </w:rPr>
        <w:t>保护范围和建设控制地带应当及时公布。市、县级人民政府应当在目录公布之日起六个月内设置保护标</w:t>
      </w:r>
      <w:r>
        <w:rPr>
          <w:rFonts w:hint="eastAsia" w:eastAsia="方正仿宋_GBK" w:cs="方正仿宋_GBK"/>
          <w:color w:val="auto"/>
          <w:sz w:val="33"/>
          <w:szCs w:val="33"/>
          <w:lang w:eastAsia="zh-CN"/>
        </w:rPr>
        <w:t>识</w:t>
      </w:r>
      <w:r>
        <w:rPr>
          <w:rFonts w:hint="eastAsia" w:eastAsia="方正仿宋_GBK" w:cs="方正仿宋_GBK"/>
          <w:color w:val="auto"/>
          <w:sz w:val="33"/>
          <w:szCs w:val="33"/>
        </w:rPr>
        <w:t>。</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在保护范围内不得从事下列行为：</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（一）违法进行工程建设或者爆破、钻探、挖掘等作业；</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（二）采矿、采石、开荒、挖砂、砍伐、取土等破坏地形地貌的活动；</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（三）生产、储存或者使用易燃、易爆、易腐蚀物品；</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（四）排放污染物，倾倒、焚烧垃圾和其他废弃物；</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（五）损坏红色资源保护性设施；</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（六）法律、法规禁止的其他行为。</w:t>
      </w:r>
    </w:p>
    <w:p>
      <w:pPr>
        <w:spacing w:line="590" w:lineRule="exact"/>
        <w:ind w:firstLine="680" w:firstLineChars="200"/>
        <w:rPr>
          <w:rFonts w:hint="eastAsia" w:eastAsia="方正仿宋_GBK" w:cs="方正仿宋_GBK"/>
          <w:color w:val="auto"/>
          <w:sz w:val="33"/>
          <w:szCs w:val="33"/>
        </w:rPr>
      </w:pPr>
      <w:r>
        <w:rPr>
          <w:rFonts w:hint="eastAsia" w:eastAsia="方正仿宋_GBK" w:cs="方正仿宋_GBK"/>
          <w:color w:val="auto"/>
          <w:sz w:val="33"/>
          <w:szCs w:val="33"/>
        </w:rPr>
        <w:t>在建设控制地带内进行工程建设，应当确保建设的规模、体量、风格、色调与红色资源的历史风貌相协调。对建设控制地带内已经存在的与历史风貌不相协调的建筑物、构筑物，应当依法治理。</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因特殊情况需要在保护范围内进行工程建设或者爆破、钻探、挖掘等作业的，应当依法取得红色资源主管部门及相关部门批准，并保证不可移动红色资源的安全。批准机关应当书面征求宣传部门的意见。在文物、烈士纪念设施保护范围内进行其他建设工程或者爆破、钻探、挖掘等作业的，依照有关法律、法规的规定执行。</w:t>
      </w:r>
    </w:p>
    <w:p>
      <w:pPr>
        <w:overflowPunct w:val="0"/>
        <w:autoSpaceDE w:val="0"/>
        <w:autoSpaceDN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auto"/>
          <w:sz w:val="33"/>
          <w:szCs w:val="33"/>
        </w:rPr>
      </w:pPr>
      <w:r>
        <w:rPr>
          <w:rFonts w:hint="eastAsia" w:ascii="方正楷体_GBK" w:hAnsi="方正楷体_GBK" w:eastAsia="方正楷体_GBK" w:cs="方正楷体_GBK"/>
          <w:b/>
          <w:bCs/>
          <w:color w:val="auto"/>
          <w:sz w:val="33"/>
          <w:szCs w:val="33"/>
        </w:rPr>
        <w:t>第十</w:t>
      </w:r>
      <w:r>
        <w:rPr>
          <w:rFonts w:hint="eastAsia" w:ascii="方正楷体_GBK" w:hAnsi="方正楷体_GBK" w:eastAsia="方正楷体_GBK" w:cs="方正楷体_GBK"/>
          <w:b/>
          <w:bCs/>
          <w:color w:val="auto"/>
          <w:sz w:val="33"/>
          <w:szCs w:val="33"/>
          <w:lang w:eastAsia="zh-CN"/>
        </w:rPr>
        <w:t>七</w:t>
      </w:r>
      <w:r>
        <w:rPr>
          <w:rFonts w:hint="eastAsia" w:ascii="方正楷体_GBK" w:hAnsi="方正楷体_GBK" w:eastAsia="方正楷体_GBK" w:cs="方正楷体_GBK"/>
          <w:b/>
          <w:bCs/>
          <w:color w:val="auto"/>
          <w:sz w:val="33"/>
          <w:szCs w:val="33"/>
        </w:rPr>
        <w:t>条【原址保护】</w:t>
      </w:r>
    </w:p>
    <w:p>
      <w:pPr>
        <w:overflowPunct w:val="0"/>
        <w:autoSpaceDE w:val="0"/>
        <w:autoSpaceDN w:val="0"/>
        <w:adjustRightInd w:val="0"/>
        <w:snapToGrid w:val="0"/>
        <w:spacing w:line="590" w:lineRule="exact"/>
        <w:ind w:firstLine="680" w:firstLineChars="200"/>
        <w:textAlignment w:val="baseline"/>
        <w:rPr>
          <w:rFonts w:hint="eastAsia" w:ascii="Times New Roman" w:hAnsi="Times New Roman" w:eastAsia="方正仿宋_GBK" w:cs="方正仿宋_GBK"/>
          <w:color w:val="auto"/>
          <w:sz w:val="33"/>
          <w:szCs w:val="33"/>
          <w:lang w:eastAsia="zh-CN"/>
        </w:rPr>
      </w:pPr>
      <w:r>
        <w:rPr>
          <w:rFonts w:hint="eastAsia" w:ascii="Times New Roman" w:hAnsi="Times New Roman" w:eastAsia="方正仿宋_GBK" w:cs="方正仿宋_GBK"/>
          <w:color w:val="auto"/>
          <w:sz w:val="33"/>
          <w:szCs w:val="33"/>
        </w:rPr>
        <w:t>建设工程选址，应当尽可能避开不可移动红色资源；因特殊情况不能避开的，对不可移动红色资源应当尽可能实施原址保护</w:t>
      </w:r>
      <w:r>
        <w:rPr>
          <w:rFonts w:hint="eastAsia" w:ascii="Times New Roman" w:hAnsi="Times New Roman" w:eastAsia="方正仿宋_GBK" w:cs="方正仿宋_GBK"/>
          <w:color w:val="auto"/>
          <w:sz w:val="33"/>
          <w:szCs w:val="33"/>
          <w:lang w:eastAsia="zh-CN"/>
        </w:rPr>
        <w:t>。</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无法原址保护，必须迁移异地保护或者拆除的，应当报核定公布的人民政府</w:t>
      </w:r>
      <w:r>
        <w:rPr>
          <w:rFonts w:hint="eastAsia" w:eastAsia="方正仿宋_GBK" w:cs="方正仿宋_GBK"/>
          <w:color w:val="auto"/>
          <w:sz w:val="33"/>
          <w:szCs w:val="33"/>
          <w:lang w:eastAsia="zh-CN"/>
        </w:rPr>
        <w:t>依照有关法律、法规规定批准</w:t>
      </w:r>
      <w:r>
        <w:rPr>
          <w:rFonts w:hint="eastAsia" w:eastAsia="方正仿宋_GBK" w:cs="方正仿宋_GBK"/>
          <w:color w:val="auto"/>
          <w:sz w:val="33"/>
          <w:szCs w:val="33"/>
        </w:rPr>
        <w:t>。文物、烈士纪念设施的迁移异地保护或者拆除依照有关法律、法规的规定执行。</w:t>
      </w:r>
    </w:p>
    <w:p>
      <w:pPr>
        <w:ind w:firstLine="680" w:firstLineChars="200"/>
        <w:rPr>
          <w:rFonts w:hint="eastAsia" w:ascii="方正楷体_GBK" w:hAnsi="方正楷体_GBK" w:eastAsia="方正楷体_GBK" w:cs="方正楷体_GBK"/>
          <w:b/>
          <w:bCs/>
          <w:color w:val="auto"/>
          <w:sz w:val="33"/>
          <w:szCs w:val="33"/>
        </w:rPr>
      </w:pPr>
      <w:r>
        <w:rPr>
          <w:rFonts w:hint="eastAsia" w:ascii="方正楷体_GBK" w:hAnsi="方正楷体_GBK" w:eastAsia="方正楷体_GBK" w:cs="方正楷体_GBK"/>
          <w:b/>
          <w:bCs/>
          <w:color w:val="auto"/>
          <w:sz w:val="33"/>
          <w:szCs w:val="33"/>
        </w:rPr>
        <w:t>第十</w:t>
      </w:r>
      <w:r>
        <w:rPr>
          <w:rFonts w:hint="eastAsia" w:ascii="方正楷体_GBK" w:hAnsi="方正楷体_GBK" w:eastAsia="方正楷体_GBK" w:cs="方正楷体_GBK"/>
          <w:b/>
          <w:bCs/>
          <w:color w:val="auto"/>
          <w:sz w:val="33"/>
          <w:szCs w:val="33"/>
          <w:lang w:eastAsia="zh-CN"/>
        </w:rPr>
        <w:t>八</w:t>
      </w:r>
      <w:r>
        <w:rPr>
          <w:rFonts w:hint="eastAsia" w:ascii="方正楷体_GBK" w:hAnsi="方正楷体_GBK" w:eastAsia="方正楷体_GBK" w:cs="方正楷体_GBK"/>
          <w:b/>
          <w:bCs/>
          <w:color w:val="auto"/>
          <w:sz w:val="33"/>
          <w:szCs w:val="33"/>
        </w:rPr>
        <w:t>条【</w:t>
      </w:r>
      <w:r>
        <w:rPr>
          <w:rFonts w:hint="eastAsia" w:ascii="方正楷体_GBK" w:hAnsi="方正楷体_GBK" w:eastAsia="方正楷体_GBK" w:cs="方正楷体_GBK"/>
          <w:b/>
          <w:bCs/>
          <w:color w:val="auto"/>
          <w:sz w:val="33"/>
          <w:szCs w:val="33"/>
          <w:lang w:val="en-US" w:eastAsia="zh-CN"/>
        </w:rPr>
        <w:t>不可移动红色资源</w:t>
      </w:r>
      <w:r>
        <w:rPr>
          <w:rFonts w:hint="eastAsia" w:ascii="方正楷体_GBK" w:hAnsi="方正楷体_GBK" w:eastAsia="方正楷体_GBK" w:cs="方正楷体_GBK"/>
          <w:b/>
          <w:bCs/>
          <w:color w:val="auto"/>
          <w:sz w:val="33"/>
          <w:szCs w:val="33"/>
        </w:rPr>
        <w:t>监测防范】</w:t>
      </w:r>
    </w:p>
    <w:p>
      <w:pPr>
        <w:overflowPunct w:val="0"/>
        <w:autoSpaceDE w:val="0"/>
        <w:autoSpaceDN w:val="0"/>
        <w:adjustRightInd w:val="0"/>
        <w:snapToGrid w:val="0"/>
        <w:spacing w:line="590" w:lineRule="exact"/>
        <w:ind w:firstLine="680" w:firstLineChars="200"/>
        <w:textAlignment w:val="baseline"/>
        <w:rPr>
          <w:rFonts w:eastAsia="方正仿宋_GBK" w:cs="方正仿宋_GBK"/>
          <w:color w:val="auto"/>
          <w:sz w:val="33"/>
          <w:szCs w:val="33"/>
        </w:rPr>
      </w:pPr>
      <w:r>
        <w:rPr>
          <w:rFonts w:hint="eastAsia" w:eastAsia="方正仿宋_GBK" w:cs="方正仿宋_GBK"/>
          <w:color w:val="auto"/>
          <w:sz w:val="33"/>
          <w:szCs w:val="33"/>
        </w:rPr>
        <w:t>市、县级人民政府应当加强不可移动红色资源周边生态环境保护和监测，组织制定和实施红色资源安全事故防范和应急预案，防止地质灾害、水土流失、环境污染等对不可移动红色资源历史风貌和生态环境造成破坏。</w:t>
      </w:r>
    </w:p>
    <w:p>
      <w:pPr>
        <w:overflowPunct w:val="0"/>
        <w:autoSpaceDE w:val="0"/>
        <w:autoSpaceDN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auto"/>
          <w:sz w:val="33"/>
          <w:szCs w:val="33"/>
        </w:rPr>
      </w:pPr>
      <w:r>
        <w:rPr>
          <w:rFonts w:hint="eastAsia" w:eastAsia="方正仿宋_GBK" w:cs="方正仿宋_GBK"/>
          <w:color w:val="auto"/>
          <w:sz w:val="33"/>
          <w:szCs w:val="33"/>
        </w:rPr>
        <w:t>发生突发事件造成或者可能造成红色资源重大损失时，保护责任人应当立即采取抢救保护措施，并及时向所在地红色资源主管部门报告。接到报告的红色资源主管部门应当迅速组织开展抢救工作。</w:t>
      </w:r>
    </w:p>
    <w:p>
      <w:pPr>
        <w:overflowPunct w:val="0"/>
        <w:autoSpaceDE w:val="0"/>
        <w:autoSpaceDN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auto"/>
          <w:sz w:val="33"/>
          <w:szCs w:val="33"/>
        </w:rPr>
      </w:pPr>
      <w:r>
        <w:rPr>
          <w:rFonts w:hint="eastAsia" w:ascii="方正楷体_GBK" w:hAnsi="方正楷体_GBK" w:eastAsia="方正楷体_GBK" w:cs="方正楷体_GBK"/>
          <w:b/>
          <w:bCs/>
          <w:color w:val="auto"/>
          <w:sz w:val="33"/>
          <w:szCs w:val="33"/>
        </w:rPr>
        <w:t>第十</w:t>
      </w:r>
      <w:r>
        <w:rPr>
          <w:rFonts w:hint="eastAsia" w:ascii="方正楷体_GBK" w:hAnsi="方正楷体_GBK" w:eastAsia="方正楷体_GBK" w:cs="方正楷体_GBK"/>
          <w:b/>
          <w:bCs/>
          <w:color w:val="auto"/>
          <w:sz w:val="33"/>
          <w:szCs w:val="33"/>
          <w:lang w:eastAsia="zh-CN"/>
        </w:rPr>
        <w:t>九</w:t>
      </w:r>
      <w:r>
        <w:rPr>
          <w:rFonts w:hint="eastAsia" w:ascii="方正楷体_GBK" w:hAnsi="方正楷体_GBK" w:eastAsia="方正楷体_GBK" w:cs="方正楷体_GBK"/>
          <w:b/>
          <w:bCs/>
          <w:color w:val="auto"/>
          <w:sz w:val="33"/>
          <w:szCs w:val="33"/>
        </w:rPr>
        <w:t>条【可移动红色物质资源保护】</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b/>
          <w:bCs/>
          <w:color w:val="auto"/>
          <w:sz w:val="33"/>
          <w:szCs w:val="33"/>
        </w:rPr>
      </w:pPr>
      <w:r>
        <w:rPr>
          <w:rFonts w:hint="eastAsia" w:eastAsia="方正仿宋_GBK" w:cs="方正仿宋_GBK"/>
          <w:color w:val="auto"/>
          <w:sz w:val="33"/>
          <w:szCs w:val="33"/>
        </w:rPr>
        <w:t>可移动红色物质资源保护责任人应当根据红色资源的不同属性，按照法律、法规和相关技术规范要求，采取下列保护措施：</w:t>
      </w:r>
    </w:p>
    <w:p>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right="150" w:firstLine="680" w:firstLineChars="200"/>
        <w:rPr>
          <w:rFonts w:hint="eastAsia" w:eastAsia="方正仿宋_GBK" w:cs="方正仿宋_GBK"/>
          <w:color w:val="auto"/>
          <w:sz w:val="33"/>
          <w:szCs w:val="33"/>
        </w:rPr>
      </w:pPr>
      <w:r>
        <w:rPr>
          <w:rFonts w:hint="eastAsia" w:eastAsia="方正仿宋_GBK" w:cs="方正仿宋_GBK"/>
          <w:color w:val="auto"/>
          <w:sz w:val="33"/>
          <w:szCs w:val="33"/>
        </w:rPr>
        <w:t>开展日常巡查和维护保养；</w:t>
      </w:r>
    </w:p>
    <w:p>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right="150" w:firstLine="680" w:firstLineChars="200"/>
        <w:rPr>
          <w:rFonts w:hint="eastAsia" w:eastAsia="方正仿宋_GBK" w:cs="方正仿宋_GBK"/>
          <w:color w:val="auto"/>
          <w:sz w:val="33"/>
          <w:szCs w:val="33"/>
        </w:rPr>
      </w:pPr>
      <w:r>
        <w:rPr>
          <w:rFonts w:hint="eastAsia" w:eastAsia="方正仿宋_GBK" w:cs="方正仿宋_GBK"/>
          <w:color w:val="auto"/>
          <w:sz w:val="33"/>
          <w:szCs w:val="33"/>
        </w:rPr>
        <w:t>建立安全防护管理制度，配备必要的防火、防盗、防尘、防潮、防光、防高温、防有害生物、防有害气体等保护设施；</w:t>
      </w:r>
    </w:p>
    <w:p>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right="150" w:firstLine="680" w:firstLineChars="200"/>
        <w:rPr>
          <w:rFonts w:hint="eastAsia" w:eastAsia="方正仿宋_GBK" w:cs="方正仿宋_GBK"/>
          <w:color w:val="auto"/>
          <w:sz w:val="33"/>
          <w:szCs w:val="33"/>
        </w:rPr>
      </w:pPr>
      <w:r>
        <w:rPr>
          <w:rFonts w:hint="eastAsia" w:eastAsia="方正仿宋_GBK" w:cs="方正仿宋_GBK"/>
          <w:color w:val="auto"/>
          <w:sz w:val="33"/>
          <w:szCs w:val="33"/>
        </w:rPr>
        <w:t>对出现霉烂、虫蛀、破损、字迹褪变等问题的文献资料，以及出现粘连、</w:t>
      </w:r>
      <w:r>
        <w:rPr>
          <w:rFonts w:hint="eastAsia" w:ascii="宋体" w:hAnsi="宋体" w:eastAsia="方正仿宋_GBK" w:cs="方正仿宋_GBK"/>
          <w:color w:val="auto"/>
          <w:kern w:val="0"/>
          <w:sz w:val="33"/>
          <w:szCs w:val="33"/>
          <w:lang w:bidi="ar"/>
        </w:rPr>
        <w:t>发黄、褪色、磁化等问题的声像资料，及时采取有效措施进行抢救和保护；</w:t>
      </w:r>
    </w:p>
    <w:p>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right="150" w:firstLine="680" w:firstLineChars="200"/>
        <w:rPr>
          <w:rFonts w:hint="eastAsia" w:eastAsia="方正仿宋_GBK" w:cs="方正仿宋_GBK"/>
          <w:color w:val="auto"/>
          <w:sz w:val="33"/>
          <w:szCs w:val="33"/>
        </w:rPr>
      </w:pPr>
      <w:r>
        <w:rPr>
          <w:rFonts w:hint="eastAsia" w:ascii="宋体" w:hAnsi="宋体" w:eastAsia="方正仿宋_GBK" w:cs="方正仿宋_GBK"/>
          <w:color w:val="auto"/>
          <w:kern w:val="0"/>
          <w:sz w:val="33"/>
          <w:szCs w:val="33"/>
          <w:lang w:bidi="ar"/>
        </w:rPr>
        <w:t>合理配备适应现代化管理的技术设备；</w:t>
      </w:r>
    </w:p>
    <w:p>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right="150" w:firstLine="680" w:firstLineChars="200"/>
        <w:rPr>
          <w:rFonts w:ascii="宋体" w:hAnsi="宋体" w:eastAsia="方正仿宋_GBK" w:cs="方正仿宋_GBK"/>
          <w:color w:val="auto"/>
          <w:kern w:val="0"/>
          <w:sz w:val="33"/>
          <w:szCs w:val="33"/>
          <w:lang w:bidi="ar"/>
        </w:rPr>
      </w:pPr>
      <w:r>
        <w:rPr>
          <w:rFonts w:hint="eastAsia" w:ascii="宋体" w:hAnsi="宋体" w:eastAsia="方正仿宋_GBK" w:cs="方正仿宋_GBK"/>
          <w:color w:val="auto"/>
          <w:kern w:val="0"/>
          <w:sz w:val="33"/>
          <w:szCs w:val="33"/>
          <w:lang w:bidi="ar"/>
        </w:rPr>
        <w:t>其他有利于保护的措施。</w:t>
      </w:r>
    </w:p>
    <w:p>
      <w:pPr>
        <w:overflowPunct w:val="0"/>
        <w:autoSpaceDE w:val="0"/>
        <w:autoSpaceDN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auto"/>
          <w:sz w:val="33"/>
          <w:szCs w:val="33"/>
        </w:rPr>
      </w:pPr>
      <w:bookmarkStart w:id="44" w:name="_Toc3415"/>
      <w:r>
        <w:rPr>
          <w:rFonts w:hint="eastAsia" w:ascii="方正楷体_GBK" w:hAnsi="方正楷体_GBK" w:eastAsia="方正楷体_GBK" w:cs="方正楷体_GBK"/>
          <w:b/>
          <w:bCs/>
          <w:color w:val="auto"/>
          <w:sz w:val="33"/>
          <w:szCs w:val="33"/>
        </w:rPr>
        <w:t>第</w:t>
      </w:r>
      <w:r>
        <w:rPr>
          <w:rFonts w:hint="eastAsia" w:ascii="方正楷体_GBK" w:hAnsi="方正楷体_GBK" w:eastAsia="方正楷体_GBK" w:cs="方正楷体_GBK"/>
          <w:b/>
          <w:bCs/>
          <w:color w:val="auto"/>
          <w:sz w:val="33"/>
          <w:szCs w:val="33"/>
          <w:lang w:eastAsia="zh-CN"/>
        </w:rPr>
        <w:t>二十</w:t>
      </w:r>
      <w:r>
        <w:rPr>
          <w:rFonts w:hint="eastAsia" w:ascii="方正楷体_GBK" w:hAnsi="方正楷体_GBK" w:eastAsia="方正楷体_GBK" w:cs="方正楷体_GBK"/>
          <w:b/>
          <w:bCs/>
          <w:color w:val="auto"/>
          <w:sz w:val="33"/>
          <w:szCs w:val="33"/>
        </w:rPr>
        <w:t>条【红色物质资源修缮】</w:t>
      </w:r>
    </w:p>
    <w:p>
      <w:pPr>
        <w:overflowPunct w:val="0"/>
        <w:autoSpaceDE w:val="0"/>
        <w:autoSpaceDN w:val="0"/>
        <w:adjustRightInd w:val="0"/>
        <w:snapToGrid w:val="0"/>
        <w:spacing w:line="590" w:lineRule="exact"/>
        <w:ind w:firstLine="656" w:firstLineChars="200"/>
        <w:textAlignment w:val="baseline"/>
        <w:rPr>
          <w:rFonts w:hint="eastAsia" w:eastAsia="方正仿宋_GBK" w:cs="方正仿宋_GBK"/>
          <w:color w:val="auto"/>
          <w:spacing w:val="-6"/>
          <w:sz w:val="33"/>
          <w:szCs w:val="33"/>
        </w:rPr>
      </w:pPr>
      <w:r>
        <w:rPr>
          <w:rFonts w:hint="eastAsia" w:eastAsia="方正仿宋_GBK" w:cs="方正仿宋_GBK"/>
          <w:color w:val="auto"/>
          <w:spacing w:val="-6"/>
          <w:sz w:val="33"/>
          <w:szCs w:val="33"/>
        </w:rPr>
        <w:t>红色物质资源的修缮、修复，应当遵循尊重原貌、最小干预的原则，不得损毁、改变主体结构及其附属设施，并依法取得红色资源主管部门批准。对不可移动文物、烈士纪念设施的修缮、修复依照有关法律、法规的规定执行。红色资源主管部门应当加强对红色物质资源修缮、修复的指导。</w:t>
      </w:r>
    </w:p>
    <w:p>
      <w:pPr>
        <w:overflowPunct w:val="0"/>
        <w:snapToGrid w:val="0"/>
        <w:spacing w:line="590" w:lineRule="exact"/>
        <w:ind w:firstLine="680" w:firstLineChars="200"/>
        <w:rPr>
          <w:rFonts w:eastAsia="方正仿宋_GBK" w:cs="方正仿宋_GBK"/>
          <w:color w:val="auto"/>
          <w:sz w:val="33"/>
          <w:szCs w:val="33"/>
        </w:rPr>
      </w:pPr>
      <w:r>
        <w:rPr>
          <w:rFonts w:hint="eastAsia" w:eastAsia="方正仿宋_GBK" w:cs="方正仿宋_GBK"/>
          <w:color w:val="auto"/>
          <w:sz w:val="33"/>
          <w:szCs w:val="33"/>
        </w:rPr>
        <w:t>红色物质资源的修缮、修复费用由保护责任人承担。</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ascii="宋体" w:hAnsi="宋体" w:eastAsia="方正仿宋_GBK" w:cs="方正仿宋_GBK"/>
          <w:color w:val="auto"/>
          <w:kern w:val="0"/>
          <w:sz w:val="33"/>
          <w:szCs w:val="33"/>
          <w:lang w:bidi="ar"/>
        </w:rPr>
        <w:t>非国有红色物质资源有损毁危险，保护责任人不具备修缮、修复能力的，市、县级人民政府应当</w:t>
      </w:r>
      <w:r>
        <w:rPr>
          <w:rFonts w:hint="eastAsia" w:eastAsia="方正仿宋_GBK" w:cs="方正仿宋_GBK"/>
          <w:color w:val="auto"/>
          <w:sz w:val="33"/>
          <w:szCs w:val="33"/>
        </w:rPr>
        <w:t>根据红色资源的类别、内容、规模和保护需要等情况</w:t>
      </w:r>
      <w:r>
        <w:rPr>
          <w:rFonts w:hint="eastAsia" w:ascii="宋体" w:hAnsi="宋体" w:eastAsia="方正仿宋_GBK" w:cs="方正仿宋_GBK"/>
          <w:color w:val="auto"/>
          <w:kern w:val="0"/>
          <w:sz w:val="33"/>
          <w:szCs w:val="33"/>
          <w:lang w:bidi="ar"/>
        </w:rPr>
        <w:t>给予帮助，</w:t>
      </w:r>
      <w:r>
        <w:rPr>
          <w:rFonts w:hint="eastAsia" w:eastAsia="方正仿宋_GBK" w:cs="方正仿宋_GBK"/>
          <w:color w:val="auto"/>
          <w:sz w:val="33"/>
          <w:szCs w:val="33"/>
        </w:rPr>
        <w:t>或者通过购买、置换、租赁等方式进行保护。</w:t>
      </w:r>
    </w:p>
    <w:p>
      <w:pPr>
        <w:overflowPunct w:val="0"/>
        <w:autoSpaceDE w:val="0"/>
        <w:autoSpaceDN w:val="0"/>
        <w:adjustRightInd w:val="0"/>
        <w:snapToGrid w:val="0"/>
        <w:spacing w:line="590" w:lineRule="exact"/>
        <w:ind w:firstLine="680" w:firstLineChars="200"/>
        <w:outlineLvl w:val="1"/>
        <w:rPr>
          <w:rFonts w:ascii="方正楷体_GBK" w:hAnsi="方正楷体_GBK" w:eastAsia="方正楷体_GBK" w:cs="方正楷体_GBK"/>
          <w:color w:val="auto"/>
          <w:sz w:val="33"/>
          <w:szCs w:val="33"/>
        </w:rPr>
      </w:pPr>
      <w:r>
        <w:rPr>
          <w:rFonts w:hint="eastAsia" w:ascii="方正楷体_GBK" w:hAnsi="方正楷体_GBK" w:eastAsia="方正楷体_GBK" w:cs="方正楷体_GBK"/>
          <w:b/>
          <w:bCs/>
          <w:color w:val="auto"/>
          <w:sz w:val="33"/>
          <w:szCs w:val="33"/>
        </w:rPr>
        <w:t>第</w:t>
      </w:r>
      <w:r>
        <w:rPr>
          <w:rFonts w:hint="eastAsia" w:ascii="方正楷体_GBK" w:hAnsi="方正楷体_GBK" w:eastAsia="方正楷体_GBK" w:cs="方正楷体_GBK"/>
          <w:b/>
          <w:bCs/>
          <w:color w:val="auto"/>
          <w:sz w:val="33"/>
          <w:szCs w:val="33"/>
          <w:lang w:val="en-US" w:eastAsia="zh-CN"/>
        </w:rPr>
        <w:t>二十一</w:t>
      </w:r>
      <w:r>
        <w:rPr>
          <w:rFonts w:hint="eastAsia" w:ascii="方正楷体_GBK" w:hAnsi="方正楷体_GBK" w:eastAsia="方正楷体_GBK" w:cs="方正楷体_GBK"/>
          <w:b/>
          <w:bCs/>
          <w:color w:val="auto"/>
          <w:sz w:val="33"/>
          <w:szCs w:val="33"/>
        </w:rPr>
        <w:t>条【</w:t>
      </w:r>
      <w:r>
        <w:rPr>
          <w:rFonts w:hint="eastAsia" w:ascii="方正楷体_GBK" w:hAnsi="方正楷体_GBK" w:eastAsia="方正楷体_GBK" w:cs="方正楷体_GBK"/>
          <w:b/>
          <w:bCs/>
          <w:color w:val="auto"/>
          <w:sz w:val="33"/>
          <w:szCs w:val="33"/>
          <w:lang w:val="en-US" w:eastAsia="zh-CN"/>
        </w:rPr>
        <w:t>红色</w:t>
      </w:r>
      <w:r>
        <w:rPr>
          <w:rFonts w:hint="eastAsia" w:ascii="方正楷体_GBK" w:hAnsi="方正楷体_GBK" w:eastAsia="方正楷体_GBK" w:cs="方正楷体_GBK"/>
          <w:b/>
          <w:bCs/>
          <w:color w:val="auto"/>
          <w:sz w:val="33"/>
          <w:szCs w:val="33"/>
        </w:rPr>
        <w:t>精神资源保护】</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lang w:bidi="ar"/>
        </w:rPr>
      </w:pPr>
      <w:r>
        <w:rPr>
          <w:rFonts w:hint="eastAsia" w:eastAsia="方正仿宋_GBK" w:cs="方正仿宋_GBK"/>
          <w:color w:val="auto"/>
          <w:sz w:val="33"/>
          <w:szCs w:val="33"/>
        </w:rPr>
        <w:t>红色精神资源的保护，应当尊重其形式和内涵。市、县级人民政府及相关部门应当加强红色精神资源的收集、整理、传承、传播，通过版权登记等方式加强对红色精神资源知识</w:t>
      </w:r>
      <w:r>
        <w:rPr>
          <w:rFonts w:hint="eastAsia" w:eastAsia="方正仿宋_GBK" w:cs="方正仿宋_GBK"/>
          <w:color w:val="auto"/>
          <w:spacing w:val="-6"/>
          <w:sz w:val="33"/>
          <w:szCs w:val="33"/>
        </w:rPr>
        <w:t>产权的保护；对濒临消失的口述历史、回忆录等红色精神资源</w:t>
      </w:r>
      <w:r>
        <w:rPr>
          <w:rFonts w:hint="eastAsia" w:eastAsia="方正仿宋_GBK" w:cs="方正仿宋_GBK"/>
          <w:color w:val="auto"/>
          <w:sz w:val="33"/>
          <w:szCs w:val="33"/>
        </w:rPr>
        <w:t>应当进行抢救性收集和保</w:t>
      </w:r>
      <w:r>
        <w:rPr>
          <w:rFonts w:hint="eastAsia" w:eastAsia="方正仿宋_GBK" w:cs="方正仿宋_GBK"/>
          <w:color w:val="auto"/>
          <w:sz w:val="33"/>
          <w:szCs w:val="33"/>
          <w:lang w:bidi="ar"/>
        </w:rPr>
        <w:t>护，记录整理历史故事、革命事迹。</w:t>
      </w:r>
    </w:p>
    <w:p>
      <w:pPr>
        <w:overflowPunct w:val="0"/>
        <w:autoSpaceDE w:val="0"/>
        <w:autoSpaceDN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auto"/>
          <w:sz w:val="33"/>
          <w:szCs w:val="33"/>
        </w:rPr>
      </w:pPr>
      <w:r>
        <w:rPr>
          <w:rFonts w:hint="eastAsia" w:ascii="方正楷体_GBK" w:hAnsi="方正楷体_GBK" w:eastAsia="方正楷体_GBK" w:cs="方正楷体_GBK"/>
          <w:b/>
          <w:bCs/>
          <w:color w:val="auto"/>
          <w:sz w:val="33"/>
          <w:szCs w:val="33"/>
        </w:rPr>
        <w:t>第二十</w:t>
      </w:r>
      <w:r>
        <w:rPr>
          <w:rFonts w:hint="eastAsia" w:ascii="方正楷体_GBK" w:hAnsi="方正楷体_GBK" w:eastAsia="方正楷体_GBK" w:cs="方正楷体_GBK"/>
          <w:b/>
          <w:bCs/>
          <w:color w:val="auto"/>
          <w:sz w:val="33"/>
          <w:szCs w:val="33"/>
          <w:lang w:eastAsia="zh-CN"/>
        </w:rPr>
        <w:t>二</w:t>
      </w:r>
      <w:r>
        <w:rPr>
          <w:rFonts w:hint="eastAsia" w:ascii="方正楷体_GBK" w:hAnsi="方正楷体_GBK" w:eastAsia="方正楷体_GBK" w:cs="方正楷体_GBK"/>
          <w:b/>
          <w:bCs/>
          <w:color w:val="auto"/>
          <w:sz w:val="33"/>
          <w:szCs w:val="33"/>
        </w:rPr>
        <w:t>条【</w:t>
      </w:r>
      <w:r>
        <w:rPr>
          <w:rFonts w:hint="eastAsia" w:ascii="方正楷体_GBK" w:hAnsi="方正楷体_GBK" w:eastAsia="方正楷体_GBK" w:cs="方正楷体_GBK"/>
          <w:b/>
          <w:bCs/>
          <w:color w:val="auto"/>
          <w:sz w:val="33"/>
          <w:szCs w:val="33"/>
          <w:lang w:eastAsia="zh-CN"/>
        </w:rPr>
        <w:t>支持</w:t>
      </w:r>
      <w:r>
        <w:rPr>
          <w:rFonts w:hint="eastAsia" w:ascii="方正楷体_GBK" w:hAnsi="方正楷体_GBK" w:eastAsia="方正楷体_GBK" w:cs="方正楷体_GBK"/>
          <w:b/>
          <w:bCs/>
          <w:color w:val="auto"/>
          <w:sz w:val="33"/>
          <w:szCs w:val="33"/>
        </w:rPr>
        <w:t>公益诉讼】</w:t>
      </w:r>
      <w:bookmarkEnd w:id="44"/>
    </w:p>
    <w:p>
      <w:pPr>
        <w:overflowPunct w:val="0"/>
        <w:autoSpaceDE w:val="0"/>
        <w:autoSpaceDN w:val="0"/>
        <w:adjustRightInd w:val="0"/>
        <w:snapToGrid w:val="0"/>
        <w:spacing w:line="590" w:lineRule="exact"/>
        <w:ind w:firstLine="680" w:firstLineChars="200"/>
        <w:textAlignment w:val="baseline"/>
        <w:rPr>
          <w:rFonts w:hint="eastAsia" w:ascii="Times New Roman" w:hAnsi="Times New Roman" w:eastAsia="方正仿宋_GBK" w:cs="方正仿宋_GBK"/>
          <w:color w:val="auto"/>
          <w:sz w:val="33"/>
          <w:szCs w:val="33"/>
        </w:rPr>
      </w:pPr>
      <w:r>
        <w:rPr>
          <w:rFonts w:hint="eastAsia" w:eastAsia="方正仿宋_GBK" w:cs="方正仿宋_GBK"/>
          <w:color w:val="auto"/>
          <w:sz w:val="33"/>
          <w:szCs w:val="33"/>
        </w:rPr>
        <w:t>对红色资源保护不力、利用不当或者侵害红色资源等损害国家利益、社会公共利益的</w:t>
      </w:r>
      <w:r>
        <w:rPr>
          <w:rFonts w:hint="eastAsia" w:ascii="Times New Roman" w:hAnsi="Times New Roman" w:eastAsia="方正仿宋_GBK" w:cs="方正仿宋_GBK"/>
          <w:color w:val="auto"/>
          <w:sz w:val="33"/>
          <w:szCs w:val="33"/>
        </w:rPr>
        <w:t>行为，支持有关机关依照法律规定开展公益诉讼。</w:t>
      </w:r>
      <w:bookmarkStart w:id="45" w:name="_Toc162253116"/>
    </w:p>
    <w:p>
      <w:pPr>
        <w:pStyle w:val="10"/>
        <w:rPr>
          <w:rFonts w:hint="default"/>
          <w:color w:val="auto"/>
          <w:lang w:val="en-US" w:eastAsia="zh-CN"/>
        </w:rPr>
      </w:pPr>
    </w:p>
    <w:p>
      <w:pPr>
        <w:overflowPunct w:val="0"/>
        <w:autoSpaceDE w:val="0"/>
        <w:autoSpaceDN w:val="0"/>
        <w:adjustRightInd w:val="0"/>
        <w:snapToGrid w:val="0"/>
        <w:spacing w:line="590" w:lineRule="exact"/>
        <w:jc w:val="center"/>
        <w:outlineLvl w:val="0"/>
        <w:rPr>
          <w:rFonts w:ascii="方正黑体_GBK" w:hAnsi="方正黑体_GBK" w:eastAsia="方正黑体_GBK" w:cs="方正黑体_GBK"/>
          <w:color w:val="auto"/>
          <w:kern w:val="44"/>
          <w:sz w:val="33"/>
          <w:szCs w:val="33"/>
        </w:rPr>
      </w:pPr>
      <w:bookmarkStart w:id="46" w:name="_Toc25921"/>
      <w:bookmarkStart w:id="47" w:name="_Toc7937"/>
      <w:r>
        <w:rPr>
          <w:rFonts w:hint="eastAsia" w:ascii="方正黑体_GBK" w:hAnsi="方正黑体_GBK" w:eastAsia="方正黑体_GBK" w:cs="方正黑体_GBK"/>
          <w:color w:val="auto"/>
          <w:kern w:val="44"/>
          <w:sz w:val="33"/>
          <w:szCs w:val="33"/>
        </w:rPr>
        <w:t>第四章 传承弘扬</w:t>
      </w:r>
      <w:bookmarkEnd w:id="45"/>
      <w:bookmarkEnd w:id="46"/>
      <w:bookmarkEnd w:id="47"/>
    </w:p>
    <w:p>
      <w:pPr>
        <w:overflowPunct w:val="0"/>
        <w:autoSpaceDE w:val="0"/>
        <w:autoSpaceDN w:val="0"/>
        <w:adjustRightInd w:val="0"/>
        <w:snapToGrid w:val="0"/>
        <w:spacing w:line="590" w:lineRule="exact"/>
        <w:ind w:firstLine="663"/>
        <w:outlineLvl w:val="1"/>
        <w:rPr>
          <w:rFonts w:ascii="方正楷体_GBK" w:hAnsi="方正楷体_GBK" w:eastAsia="方正楷体_GBK" w:cs="方正楷体_GBK"/>
          <w:color w:val="auto"/>
          <w:sz w:val="33"/>
          <w:szCs w:val="33"/>
        </w:rPr>
      </w:pPr>
      <w:bookmarkStart w:id="48" w:name="_Toc162253117"/>
    </w:p>
    <w:p>
      <w:pPr>
        <w:overflowPunct w:val="0"/>
        <w:autoSpaceDE w:val="0"/>
        <w:autoSpaceDN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auto"/>
          <w:sz w:val="33"/>
          <w:szCs w:val="33"/>
        </w:rPr>
      </w:pPr>
      <w:bookmarkStart w:id="49" w:name="_Toc10808"/>
      <w:bookmarkStart w:id="50" w:name="_Toc29039"/>
      <w:r>
        <w:rPr>
          <w:rFonts w:hint="eastAsia" w:ascii="方正楷体_GBK" w:hAnsi="方正楷体_GBK" w:eastAsia="方正楷体_GBK" w:cs="方正楷体_GBK"/>
          <w:b/>
          <w:bCs/>
          <w:color w:val="auto"/>
          <w:sz w:val="33"/>
          <w:szCs w:val="33"/>
        </w:rPr>
        <w:t>第二十</w:t>
      </w:r>
      <w:r>
        <w:rPr>
          <w:rFonts w:hint="eastAsia" w:ascii="方正楷体_GBK" w:hAnsi="方正楷体_GBK" w:eastAsia="方正楷体_GBK" w:cs="方正楷体_GBK"/>
          <w:b/>
          <w:bCs/>
          <w:color w:val="auto"/>
          <w:sz w:val="33"/>
          <w:szCs w:val="33"/>
          <w:lang w:eastAsia="zh-CN"/>
        </w:rPr>
        <w:t>三</w:t>
      </w:r>
      <w:r>
        <w:rPr>
          <w:rFonts w:hint="eastAsia" w:ascii="方正楷体_GBK" w:hAnsi="方正楷体_GBK" w:eastAsia="方正楷体_GBK" w:cs="方正楷体_GBK"/>
          <w:b/>
          <w:bCs/>
          <w:color w:val="auto"/>
          <w:sz w:val="33"/>
          <w:szCs w:val="33"/>
        </w:rPr>
        <w:t>条【红色资源传承弘扬方针】</w:t>
      </w:r>
      <w:bookmarkEnd w:id="48"/>
      <w:bookmarkEnd w:id="49"/>
      <w:bookmarkEnd w:id="50"/>
    </w:p>
    <w:p>
      <w:pPr>
        <w:overflowPunct w:val="0"/>
        <w:autoSpaceDE w:val="0"/>
        <w:autoSpaceDN w:val="0"/>
        <w:adjustRightInd w:val="0"/>
        <w:snapToGrid w:val="0"/>
        <w:spacing w:line="590" w:lineRule="exact"/>
        <w:ind w:firstLine="680" w:firstLineChars="200"/>
        <w:textAlignment w:val="baseline"/>
        <w:rPr>
          <w:rFonts w:eastAsia="方正仿宋_GBK" w:cs="方正仿宋_GBK"/>
          <w:color w:val="auto"/>
          <w:sz w:val="33"/>
          <w:szCs w:val="33"/>
        </w:rPr>
      </w:pPr>
      <w:r>
        <w:rPr>
          <w:rFonts w:hint="eastAsia" w:eastAsia="方正仿宋_GBK" w:cs="方正仿宋_GBK"/>
          <w:color w:val="auto"/>
          <w:sz w:val="33"/>
          <w:szCs w:val="33"/>
        </w:rPr>
        <w:t>市、县级人民政府应当挖掘和利用邓小平故里、华蓥山起义、三线建设等本地红色资源优势，将其纳入公共文化服务体系，推动老区精神、红岩精神、抗美援朝精神、改革开放精神、脱贫攻坚精神等传承弘扬，深化红色资源价值挖掘阐释传播，打造具有影响力和本地特色的红色文化品牌。</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鼓励利用市场机制，探索多样化红色资源开发利用模式，引导各类市场主体参与红色资源传承弘扬。</w:t>
      </w:r>
    </w:p>
    <w:p>
      <w:pPr>
        <w:overflowPunct w:val="0"/>
        <w:autoSpaceDE w:val="0"/>
        <w:autoSpaceDN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auto"/>
          <w:sz w:val="33"/>
          <w:szCs w:val="33"/>
        </w:rPr>
      </w:pPr>
      <w:bookmarkStart w:id="51" w:name="_Toc162253118"/>
      <w:bookmarkStart w:id="52" w:name="_Toc24632"/>
      <w:bookmarkStart w:id="53" w:name="_Toc21332"/>
      <w:r>
        <w:rPr>
          <w:rFonts w:hint="eastAsia" w:ascii="方正楷体_GBK" w:hAnsi="方正楷体_GBK" w:eastAsia="方正楷体_GBK" w:cs="方正楷体_GBK"/>
          <w:b/>
          <w:bCs/>
          <w:color w:val="auto"/>
          <w:sz w:val="33"/>
          <w:szCs w:val="33"/>
        </w:rPr>
        <w:t>第二十</w:t>
      </w:r>
      <w:r>
        <w:rPr>
          <w:rFonts w:hint="eastAsia" w:ascii="方正楷体_GBK" w:hAnsi="方正楷体_GBK" w:eastAsia="方正楷体_GBK" w:cs="方正楷体_GBK"/>
          <w:b/>
          <w:bCs/>
          <w:color w:val="auto"/>
          <w:sz w:val="33"/>
          <w:szCs w:val="33"/>
          <w:lang w:eastAsia="zh-CN"/>
        </w:rPr>
        <w:t>四</w:t>
      </w:r>
      <w:r>
        <w:rPr>
          <w:rFonts w:hint="eastAsia" w:ascii="方正楷体_GBK" w:hAnsi="方正楷体_GBK" w:eastAsia="方正楷体_GBK" w:cs="方正楷体_GBK"/>
          <w:b/>
          <w:bCs/>
          <w:color w:val="auto"/>
          <w:sz w:val="33"/>
          <w:szCs w:val="33"/>
        </w:rPr>
        <w:t>条【红色资源研究】</w:t>
      </w:r>
      <w:bookmarkEnd w:id="51"/>
      <w:bookmarkEnd w:id="52"/>
      <w:bookmarkEnd w:id="53"/>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lang w:val="en"/>
        </w:rPr>
      </w:pPr>
      <w:r>
        <w:rPr>
          <w:rFonts w:hint="eastAsia" w:eastAsia="方正仿宋_GBK" w:cs="方正仿宋_GBK"/>
          <w:color w:val="auto"/>
          <w:sz w:val="33"/>
          <w:szCs w:val="33"/>
        </w:rPr>
        <w:t>市、县级</w:t>
      </w:r>
      <w:r>
        <w:rPr>
          <w:rFonts w:hint="eastAsia" w:eastAsia="方正仿宋_GBK" w:cs="方正仿宋_GBK"/>
          <w:color w:val="auto"/>
          <w:sz w:val="33"/>
          <w:szCs w:val="33"/>
          <w:lang w:val="en"/>
        </w:rPr>
        <w:t>宣传部门</w:t>
      </w:r>
      <w:r>
        <w:rPr>
          <w:rFonts w:hint="eastAsia" w:eastAsia="方正仿宋_GBK" w:cs="方正仿宋_GBK"/>
          <w:color w:val="auto"/>
          <w:sz w:val="33"/>
          <w:szCs w:val="33"/>
        </w:rPr>
        <w:t>应当会同有关部门（单位）加强对红色资源及其所承载的革命历史的研究，</w:t>
      </w:r>
      <w:r>
        <w:rPr>
          <w:rFonts w:hint="eastAsia" w:eastAsia="方正仿宋_GBK" w:cs="方正仿宋_GBK"/>
          <w:color w:val="auto"/>
          <w:sz w:val="33"/>
          <w:szCs w:val="33"/>
          <w:lang w:val="en"/>
        </w:rPr>
        <w:t>支持党史部门、党校（干部学院）、高等院校、科研机构等开展下列红色资源研究工作：</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lang w:val="en"/>
        </w:rPr>
      </w:pPr>
      <w:r>
        <w:rPr>
          <w:rFonts w:hint="eastAsia" w:eastAsia="方正仿宋_GBK" w:cs="方正仿宋_GBK"/>
          <w:color w:val="auto"/>
          <w:sz w:val="33"/>
          <w:szCs w:val="33"/>
          <w:lang w:val="en"/>
        </w:rPr>
        <w:t>（一）对邓小平生平、思想、理论的研究阐释；</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lang w:val="en"/>
        </w:rPr>
      </w:pPr>
      <w:r>
        <w:rPr>
          <w:rFonts w:hint="eastAsia" w:eastAsia="方正仿宋_GBK" w:cs="方正仿宋_GBK"/>
          <w:color w:val="auto"/>
          <w:sz w:val="33"/>
          <w:szCs w:val="33"/>
          <w:lang w:val="en"/>
        </w:rPr>
        <w:t>（二）对华蓥山起义等红色资源的发掘研究；</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lang w:val="en"/>
        </w:rPr>
      </w:pPr>
      <w:r>
        <w:rPr>
          <w:rFonts w:hint="eastAsia" w:eastAsia="方正仿宋_GBK" w:cs="方正仿宋_GBK"/>
          <w:color w:val="auto"/>
          <w:sz w:val="33"/>
          <w:szCs w:val="33"/>
          <w:lang w:val="en"/>
        </w:rPr>
        <w:t>（三）对毕占云、柴云振等革命先辈、英雄模范精神的研究阐释；</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lang w:val="en"/>
        </w:rPr>
        <w:t>（四）对老区精神、红岩精神、抗美</w:t>
      </w:r>
      <w:r>
        <w:rPr>
          <w:rFonts w:hint="eastAsia" w:eastAsia="方正仿宋_GBK" w:cs="方正仿宋_GBK"/>
          <w:color w:val="auto"/>
          <w:sz w:val="33"/>
          <w:szCs w:val="33"/>
        </w:rPr>
        <w:t>援朝精神、改革开放精神、脱贫攻坚精神等挖掘提炼；</w:t>
      </w:r>
    </w:p>
    <w:p>
      <w:pPr>
        <w:overflowPunct w:val="0"/>
        <w:autoSpaceDE w:val="0"/>
        <w:autoSpaceDN w:val="0"/>
        <w:adjustRightInd w:val="0"/>
        <w:snapToGrid w:val="0"/>
        <w:spacing w:line="590" w:lineRule="exact"/>
        <w:ind w:firstLine="680" w:firstLineChars="200"/>
        <w:textAlignment w:val="baseline"/>
        <w:rPr>
          <w:rFonts w:eastAsia="方正仿宋_GBK" w:cs="方正仿宋_GBK"/>
          <w:color w:val="auto"/>
          <w:sz w:val="33"/>
          <w:szCs w:val="33"/>
        </w:rPr>
      </w:pPr>
      <w:r>
        <w:rPr>
          <w:rFonts w:hint="eastAsia" w:eastAsia="方正仿宋_GBK" w:cs="方正仿宋_GBK"/>
          <w:color w:val="auto"/>
          <w:sz w:val="33"/>
          <w:szCs w:val="33"/>
        </w:rPr>
        <w:t>（五）其他有利于红色资源保护传承的研究交流</w:t>
      </w:r>
      <w:r>
        <w:rPr>
          <w:rFonts w:hint="eastAsia" w:eastAsia="方正仿宋_GBK" w:cs="方正仿宋_GBK"/>
          <w:color w:val="auto"/>
          <w:sz w:val="33"/>
          <w:szCs w:val="33"/>
          <w:lang w:val="en"/>
        </w:rPr>
        <w:t>活动</w:t>
      </w:r>
      <w:r>
        <w:rPr>
          <w:rFonts w:hint="eastAsia" w:eastAsia="方正仿宋_GBK" w:cs="方正仿宋_GBK"/>
          <w:color w:val="auto"/>
          <w:sz w:val="33"/>
          <w:szCs w:val="33"/>
        </w:rPr>
        <w:t>。</w:t>
      </w:r>
      <w:bookmarkStart w:id="54" w:name="_Toc7247"/>
    </w:p>
    <w:bookmarkEnd w:id="54"/>
    <w:p>
      <w:pPr>
        <w:overflowPunct w:val="0"/>
        <w:autoSpaceDE w:val="0"/>
        <w:autoSpaceDN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auto"/>
          <w:sz w:val="33"/>
          <w:szCs w:val="33"/>
        </w:rPr>
      </w:pPr>
      <w:bookmarkStart w:id="55" w:name="_Toc29627"/>
      <w:bookmarkStart w:id="56" w:name="_Toc162253120"/>
      <w:bookmarkStart w:id="57" w:name="_Toc26455"/>
      <w:r>
        <w:rPr>
          <w:rFonts w:hint="eastAsia" w:ascii="方正楷体_GBK" w:hAnsi="方正楷体_GBK" w:eastAsia="方正楷体_GBK" w:cs="方正楷体_GBK"/>
          <w:b/>
          <w:bCs/>
          <w:color w:val="auto"/>
          <w:sz w:val="33"/>
          <w:szCs w:val="33"/>
        </w:rPr>
        <w:t>第二十</w:t>
      </w:r>
      <w:r>
        <w:rPr>
          <w:rFonts w:hint="eastAsia" w:ascii="方正楷体_GBK" w:hAnsi="方正楷体_GBK" w:eastAsia="方正楷体_GBK" w:cs="方正楷体_GBK"/>
          <w:b/>
          <w:bCs/>
          <w:color w:val="auto"/>
          <w:sz w:val="33"/>
          <w:szCs w:val="33"/>
          <w:lang w:eastAsia="zh-CN"/>
        </w:rPr>
        <w:t>五</w:t>
      </w:r>
      <w:r>
        <w:rPr>
          <w:rFonts w:hint="eastAsia" w:ascii="方正楷体_GBK" w:hAnsi="方正楷体_GBK" w:eastAsia="方正楷体_GBK" w:cs="方正楷体_GBK"/>
          <w:b/>
          <w:bCs/>
          <w:color w:val="auto"/>
          <w:sz w:val="33"/>
          <w:szCs w:val="33"/>
        </w:rPr>
        <w:t>条【红色资源展览展示】</w:t>
      </w:r>
      <w:bookmarkEnd w:id="55"/>
      <w:bookmarkEnd w:id="56"/>
      <w:bookmarkEnd w:id="57"/>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具备开放条件的红色遗址、遗迹和红色主题博物馆、纪念馆、纪念设施或者场所，应当按照有关规定，免费或者优惠向社会公众开放。</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bookmarkStart w:id="58" w:name="tiao_18_kuan_2"/>
      <w:bookmarkEnd w:id="58"/>
      <w:r>
        <w:rPr>
          <w:rFonts w:hint="eastAsia" w:eastAsia="方正仿宋_GBK" w:cs="方正仿宋_GBK"/>
          <w:color w:val="auto"/>
          <w:sz w:val="33"/>
          <w:szCs w:val="33"/>
        </w:rPr>
        <w:t>鼓励红色主题博物馆、纪念馆等运用现代科技手段，加强红色资源数字化展示利用，增强陈列展览的生动性、互动性、体验性。</w:t>
      </w:r>
    </w:p>
    <w:p>
      <w:pPr>
        <w:overflowPunct w:val="0"/>
        <w:autoSpaceDE w:val="0"/>
        <w:autoSpaceDN w:val="0"/>
        <w:adjustRightInd w:val="0"/>
        <w:snapToGrid w:val="0"/>
        <w:spacing w:line="590" w:lineRule="exact"/>
        <w:ind w:firstLine="680" w:firstLineChars="200"/>
        <w:textAlignment w:val="baseline"/>
        <w:rPr>
          <w:rFonts w:hint="eastAsia"/>
          <w:color w:val="auto"/>
        </w:rPr>
      </w:pPr>
      <w:r>
        <w:rPr>
          <w:rFonts w:hint="eastAsia" w:eastAsia="方正仿宋_GBK" w:cs="方正仿宋_GBK"/>
          <w:color w:val="auto"/>
          <w:sz w:val="33"/>
          <w:szCs w:val="33"/>
        </w:rPr>
        <w:t>建立红色资源展陈及讲解内容审查机制。红色资源展览展示单位应当尊重史实，规范编制展览展示大纲、版式稿和讲解词。红色资源主管部门应当按照规定对展览展示内容和讲解词进行审核，并征求宣传、党史等相关部门意见，确保展陈及讲解内容的准确性、完整性、权威性。</w:t>
      </w:r>
    </w:p>
    <w:p>
      <w:pPr>
        <w:tabs>
          <w:tab w:val="center" w:pos="4153"/>
          <w:tab w:val="right" w:pos="8306"/>
        </w:tabs>
        <w:snapToGrid w:val="0"/>
        <w:spacing w:line="590" w:lineRule="exact"/>
        <w:ind w:firstLine="680" w:firstLineChars="200"/>
        <w:rPr>
          <w:rFonts w:hint="eastAsia" w:ascii="方正楷体_GBK" w:hAnsi="方正楷体_GBK" w:eastAsia="方正楷体_GBK" w:cs="方正楷体_GBK"/>
          <w:color w:val="auto"/>
          <w:sz w:val="33"/>
          <w:szCs w:val="33"/>
        </w:rPr>
      </w:pPr>
      <w:r>
        <w:rPr>
          <w:rFonts w:hint="eastAsia" w:ascii="方正楷体_GBK" w:hAnsi="方正楷体_GBK" w:eastAsia="方正楷体_GBK" w:cs="方正楷体_GBK"/>
          <w:b/>
          <w:bCs/>
          <w:color w:val="auto"/>
          <w:sz w:val="33"/>
          <w:szCs w:val="33"/>
        </w:rPr>
        <w:t>第二十</w:t>
      </w:r>
      <w:r>
        <w:rPr>
          <w:rFonts w:hint="eastAsia" w:ascii="方正楷体_GBK" w:hAnsi="方正楷体_GBK" w:eastAsia="方正楷体_GBK" w:cs="方正楷体_GBK"/>
          <w:b/>
          <w:bCs/>
          <w:color w:val="auto"/>
          <w:sz w:val="33"/>
          <w:szCs w:val="33"/>
          <w:lang w:eastAsia="zh-CN"/>
        </w:rPr>
        <w:t>六</w:t>
      </w:r>
      <w:r>
        <w:rPr>
          <w:rFonts w:hint="eastAsia" w:ascii="方正楷体_GBK" w:hAnsi="方正楷体_GBK" w:eastAsia="方正楷体_GBK" w:cs="方正楷体_GBK"/>
          <w:b/>
          <w:bCs/>
          <w:color w:val="auto"/>
          <w:sz w:val="33"/>
          <w:szCs w:val="33"/>
        </w:rPr>
        <w:t>条【红色旅游】</w:t>
      </w:r>
      <w:r>
        <w:rPr>
          <w:rFonts w:hint="eastAsia" w:ascii="方正楷体_GBK" w:hAnsi="方正楷体_GBK" w:eastAsia="方正楷体_GBK" w:cs="方正楷体_GBK"/>
          <w:color w:val="auto"/>
          <w:sz w:val="33"/>
          <w:szCs w:val="33"/>
        </w:rPr>
        <w:t xml:space="preserve">  </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市、县级人民政府应当依托邓小平青少年时代活动旧址、华蓥山起义遗址、三线建设工业遗产等红色资源，丰富红色旅游产品供给，完善基础设施配套，打造红色旅游精品线路，推动红色资源保护传承与旅游产业融合发展。</w:t>
      </w:r>
    </w:p>
    <w:p>
      <w:pPr>
        <w:overflowPunct w:val="0"/>
        <w:autoSpaceDE w:val="0"/>
        <w:autoSpaceDN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auto"/>
          <w:sz w:val="33"/>
          <w:szCs w:val="33"/>
        </w:rPr>
      </w:pPr>
      <w:r>
        <w:rPr>
          <w:rFonts w:hint="eastAsia" w:ascii="方正楷体_GBK" w:hAnsi="方正楷体_GBK" w:eastAsia="方正楷体_GBK" w:cs="方正楷体_GBK"/>
          <w:b/>
          <w:bCs/>
          <w:color w:val="auto"/>
          <w:sz w:val="33"/>
          <w:szCs w:val="33"/>
        </w:rPr>
        <w:t>第二十</w:t>
      </w:r>
      <w:r>
        <w:rPr>
          <w:rFonts w:hint="eastAsia" w:ascii="方正楷体_GBK" w:hAnsi="方正楷体_GBK" w:eastAsia="方正楷体_GBK" w:cs="方正楷体_GBK"/>
          <w:b/>
          <w:bCs/>
          <w:color w:val="auto"/>
          <w:sz w:val="33"/>
          <w:szCs w:val="33"/>
          <w:lang w:eastAsia="zh-CN"/>
        </w:rPr>
        <w:t>七</w:t>
      </w:r>
      <w:r>
        <w:rPr>
          <w:rFonts w:hint="eastAsia" w:ascii="方正楷体_GBK" w:hAnsi="方正楷体_GBK" w:eastAsia="方正楷体_GBK" w:cs="方正楷体_GBK"/>
          <w:b/>
          <w:bCs/>
          <w:color w:val="auto"/>
          <w:sz w:val="33"/>
          <w:szCs w:val="33"/>
        </w:rPr>
        <w:t xml:space="preserve">条【红色文化宣传】 </w:t>
      </w:r>
    </w:p>
    <w:p>
      <w:pPr>
        <w:overflowPunct w:val="0"/>
        <w:autoSpaceDE w:val="0"/>
        <w:autoSpaceDN w:val="0"/>
        <w:adjustRightInd w:val="0"/>
        <w:snapToGrid w:val="0"/>
        <w:spacing w:line="590" w:lineRule="exact"/>
        <w:ind w:firstLine="680" w:firstLineChars="200"/>
        <w:textAlignment w:val="baseline"/>
        <w:rPr>
          <w:rFonts w:hint="eastAsia"/>
          <w:color w:val="auto"/>
        </w:rPr>
      </w:pPr>
      <w:r>
        <w:rPr>
          <w:rFonts w:hint="eastAsia" w:eastAsia="方正仿宋_GBK" w:cs="方正仿宋_GBK"/>
          <w:color w:val="auto"/>
          <w:sz w:val="33"/>
          <w:szCs w:val="33"/>
        </w:rPr>
        <w:t>市、县级人民政府及相关部门应当结合本地红色资源，开展形式多样的宣传活动，营造崇尚红色文化的风尚。</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新闻媒体应当坚持正确舆论导向，加强红色资源公益宣传，增强全社会的红色资源保护传承意识。</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国家机关、人民团体、企业事业单位、学校等，应当在国庆节、烈士纪念日等重要节日、纪念日，组织开展红色宣传教育活动。</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鼓励和支持文艺工作者、文艺团体和演出经营单位等开展红色主题文艺作品创作、展演展映展播等活动。</w:t>
      </w:r>
    </w:p>
    <w:p>
      <w:pPr>
        <w:overflowPunct w:val="0"/>
        <w:autoSpaceDE w:val="0"/>
        <w:autoSpaceDN w:val="0"/>
        <w:adjustRightInd w:val="0"/>
        <w:snapToGrid w:val="0"/>
        <w:spacing w:line="590" w:lineRule="exact"/>
        <w:ind w:firstLine="680" w:firstLineChars="200"/>
        <w:outlineLvl w:val="1"/>
        <w:rPr>
          <w:rFonts w:eastAsia="方正仿宋_GBK" w:cs="方正仿宋_GBK"/>
          <w:b/>
          <w:bCs/>
          <w:color w:val="auto"/>
          <w:sz w:val="33"/>
          <w:szCs w:val="33"/>
        </w:rPr>
      </w:pPr>
      <w:r>
        <w:rPr>
          <w:rFonts w:hint="eastAsia" w:ascii="方正楷体_GBK" w:hAnsi="方正楷体_GBK" w:eastAsia="方正楷体_GBK" w:cs="方正楷体_GBK"/>
          <w:b/>
          <w:bCs/>
          <w:color w:val="auto"/>
          <w:sz w:val="33"/>
          <w:szCs w:val="33"/>
        </w:rPr>
        <w:t>第二十</w:t>
      </w:r>
      <w:r>
        <w:rPr>
          <w:rFonts w:hint="eastAsia" w:ascii="方正楷体_GBK" w:hAnsi="方正楷体_GBK" w:eastAsia="方正楷体_GBK" w:cs="方正楷体_GBK"/>
          <w:b/>
          <w:bCs/>
          <w:color w:val="auto"/>
          <w:sz w:val="33"/>
          <w:szCs w:val="33"/>
          <w:lang w:eastAsia="zh-CN"/>
        </w:rPr>
        <w:t>八</w:t>
      </w:r>
      <w:r>
        <w:rPr>
          <w:rFonts w:hint="eastAsia" w:ascii="方正楷体_GBK" w:hAnsi="方正楷体_GBK" w:eastAsia="方正楷体_GBK" w:cs="方正楷体_GBK"/>
          <w:b/>
          <w:bCs/>
          <w:color w:val="auto"/>
          <w:sz w:val="33"/>
          <w:szCs w:val="33"/>
        </w:rPr>
        <w:t>条【红色文化教育】</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市、县级人民政府应当依托红色资源开展各类文化活动，引导公众通过多种形式接受红色文化教育。</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市、县级教育部门应当指导学校将红色资源保护传承知识纳入学校教育教学内容和社会实践活动，通过组织学生参观红色旧址、遗址、纪念设施或者场所等方式，开展革命传统教育、爱国主义教育。</w:t>
      </w:r>
    </w:p>
    <w:p>
      <w:pPr>
        <w:overflowPunct w:val="0"/>
        <w:autoSpaceDE w:val="0"/>
        <w:autoSpaceDN w:val="0"/>
        <w:adjustRightInd w:val="0"/>
        <w:snapToGrid w:val="0"/>
        <w:spacing w:line="590" w:lineRule="exact"/>
        <w:ind w:firstLine="680" w:firstLineChars="200"/>
        <w:textAlignment w:val="baseline"/>
        <w:rPr>
          <w:rFonts w:hint="eastAsia" w:eastAsia="方正仿宋_GBK" w:cs="方正仿宋_GBK"/>
          <w:color w:val="auto"/>
          <w:sz w:val="33"/>
          <w:szCs w:val="33"/>
        </w:rPr>
      </w:pPr>
      <w:r>
        <w:rPr>
          <w:rFonts w:hint="eastAsia" w:eastAsia="方正仿宋_GBK" w:cs="方正仿宋_GBK"/>
          <w:color w:val="auto"/>
          <w:sz w:val="33"/>
          <w:szCs w:val="33"/>
        </w:rPr>
        <w:t>党校（干部学院）等干部教育培训机构应当结合本地实际，将红色文化教育纳入教学内容，依托红色资源开发培训课程，组织开展主题教育和实践教学活动。</w:t>
      </w:r>
    </w:p>
    <w:p>
      <w:pPr>
        <w:overflowPunct w:val="0"/>
        <w:autoSpaceDE w:val="0"/>
        <w:autoSpaceDN w:val="0"/>
        <w:adjustRightInd w:val="0"/>
        <w:snapToGrid w:val="0"/>
        <w:spacing w:line="610" w:lineRule="exact"/>
        <w:ind w:firstLine="680" w:firstLineChars="200"/>
        <w:outlineLvl w:val="1"/>
        <w:rPr>
          <w:rFonts w:hint="eastAsia" w:ascii="方正楷体_GBK" w:hAnsi="方正楷体_GBK" w:eastAsia="方正楷体_GBK" w:cs="方正楷体_GBK"/>
          <w:b/>
          <w:bCs/>
          <w:color w:val="auto"/>
          <w:sz w:val="33"/>
          <w:szCs w:val="33"/>
        </w:rPr>
      </w:pPr>
      <w:r>
        <w:rPr>
          <w:rFonts w:hint="eastAsia" w:ascii="方正楷体_GBK" w:hAnsi="方正楷体_GBK" w:eastAsia="方正楷体_GBK" w:cs="方正楷体_GBK"/>
          <w:b/>
          <w:bCs/>
          <w:color w:val="auto"/>
          <w:sz w:val="33"/>
          <w:szCs w:val="33"/>
        </w:rPr>
        <w:t>第二十</w:t>
      </w:r>
      <w:r>
        <w:rPr>
          <w:rFonts w:hint="eastAsia" w:ascii="方正楷体_GBK" w:hAnsi="方正楷体_GBK" w:eastAsia="方正楷体_GBK" w:cs="方正楷体_GBK"/>
          <w:b/>
          <w:bCs/>
          <w:color w:val="auto"/>
          <w:sz w:val="33"/>
          <w:szCs w:val="33"/>
          <w:lang w:eastAsia="zh-CN"/>
        </w:rPr>
        <w:t>九</w:t>
      </w:r>
      <w:r>
        <w:rPr>
          <w:rFonts w:hint="eastAsia" w:ascii="方正楷体_GBK" w:hAnsi="方正楷体_GBK" w:eastAsia="方正楷体_GBK" w:cs="方正楷体_GBK"/>
          <w:b/>
          <w:bCs/>
          <w:color w:val="auto"/>
          <w:sz w:val="33"/>
          <w:szCs w:val="33"/>
        </w:rPr>
        <w:t>条【</w:t>
      </w:r>
      <w:bookmarkStart w:id="59" w:name="_Hlk174649288"/>
      <w:r>
        <w:rPr>
          <w:rFonts w:hint="eastAsia" w:ascii="方正楷体_GBK" w:hAnsi="方正楷体_GBK" w:eastAsia="方正楷体_GBK" w:cs="方正楷体_GBK"/>
          <w:b/>
          <w:bCs/>
          <w:color w:val="auto"/>
          <w:sz w:val="33"/>
          <w:szCs w:val="33"/>
        </w:rPr>
        <w:t>红色志愿服务</w:t>
      </w:r>
      <w:bookmarkEnd w:id="59"/>
      <w:r>
        <w:rPr>
          <w:rFonts w:hint="eastAsia" w:ascii="方正楷体_GBK" w:hAnsi="方正楷体_GBK" w:eastAsia="方正楷体_GBK" w:cs="方正楷体_GBK"/>
          <w:b/>
          <w:bCs/>
          <w:color w:val="auto"/>
          <w:sz w:val="33"/>
          <w:szCs w:val="33"/>
        </w:rPr>
        <w:t>】</w:t>
      </w:r>
    </w:p>
    <w:p>
      <w:pPr>
        <w:overflowPunct w:val="0"/>
        <w:autoSpaceDE w:val="0"/>
        <w:autoSpaceDN w:val="0"/>
        <w:adjustRightInd w:val="0"/>
        <w:snapToGrid w:val="0"/>
        <w:spacing w:line="610" w:lineRule="exact"/>
        <w:ind w:firstLine="680" w:firstLineChars="200"/>
        <w:textAlignment w:val="baseline"/>
        <w:rPr>
          <w:rFonts w:hint="eastAsia" w:ascii="方正楷体_GBK" w:hAnsi="方正楷体_GBK" w:eastAsia="方正楷体_GBK" w:cs="方正楷体_GBK"/>
          <w:b/>
          <w:bCs/>
          <w:color w:val="auto"/>
          <w:sz w:val="33"/>
          <w:szCs w:val="33"/>
        </w:rPr>
      </w:pPr>
      <w:r>
        <w:rPr>
          <w:rFonts w:hint="eastAsia" w:eastAsia="方正仿宋_GBK" w:cs="方正仿宋_GBK"/>
          <w:color w:val="auto"/>
          <w:sz w:val="33"/>
          <w:szCs w:val="33"/>
        </w:rPr>
        <w:t>鼓励和支持红色展馆、景区等设立志愿服务站点、成立志愿队伍，鼓励和支持英雄模范、老战士、老党员、老干部、专家学者和青少年学生等通过担任志愿讲解员等方式，开展红色资源保护传承志愿服务，弘扬传播红色文化。</w:t>
      </w:r>
    </w:p>
    <w:p>
      <w:pPr>
        <w:overflowPunct w:val="0"/>
        <w:autoSpaceDE w:val="0"/>
        <w:autoSpaceDN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auto"/>
          <w:sz w:val="33"/>
          <w:szCs w:val="33"/>
        </w:rPr>
      </w:pPr>
      <w:r>
        <w:rPr>
          <w:rFonts w:hint="eastAsia" w:ascii="方正楷体_GBK" w:hAnsi="方正楷体_GBK" w:eastAsia="方正楷体_GBK" w:cs="方正楷体_GBK"/>
          <w:b/>
          <w:bCs/>
          <w:color w:val="auto"/>
          <w:sz w:val="33"/>
          <w:szCs w:val="33"/>
        </w:rPr>
        <w:t>第</w:t>
      </w:r>
      <w:r>
        <w:rPr>
          <w:rFonts w:hint="eastAsia" w:ascii="方正楷体_GBK" w:hAnsi="方正楷体_GBK" w:eastAsia="方正楷体_GBK" w:cs="方正楷体_GBK"/>
          <w:b/>
          <w:bCs/>
          <w:color w:val="auto"/>
          <w:sz w:val="33"/>
          <w:szCs w:val="33"/>
          <w:lang w:eastAsia="zh-CN"/>
        </w:rPr>
        <w:t>三十</w:t>
      </w:r>
      <w:r>
        <w:rPr>
          <w:rFonts w:hint="eastAsia" w:ascii="方正楷体_GBK" w:hAnsi="方正楷体_GBK" w:eastAsia="方正楷体_GBK" w:cs="方正楷体_GBK"/>
          <w:b/>
          <w:bCs/>
          <w:color w:val="auto"/>
          <w:sz w:val="33"/>
          <w:szCs w:val="33"/>
        </w:rPr>
        <w:t>条【合作协作】</w:t>
      </w:r>
    </w:p>
    <w:p>
      <w:pPr>
        <w:overflowPunct w:val="0"/>
        <w:autoSpaceDE w:val="0"/>
        <w:autoSpaceDN w:val="0"/>
        <w:adjustRightInd w:val="0"/>
        <w:snapToGrid w:val="0"/>
        <w:spacing w:line="590" w:lineRule="exact"/>
        <w:ind w:firstLine="680" w:firstLineChars="200"/>
        <w:textAlignment w:val="baseline"/>
        <w:rPr>
          <w:rFonts w:ascii="方正仿宋_GBK" w:hAnsi="方正仿宋_GBK" w:eastAsia="方正仿宋_GBK" w:cs="方正仿宋_GBK"/>
          <w:color w:val="auto"/>
          <w:sz w:val="33"/>
          <w:szCs w:val="33"/>
        </w:rPr>
      </w:pPr>
      <w:r>
        <w:rPr>
          <w:rFonts w:hint="eastAsia" w:ascii="方正仿宋_GBK" w:hAnsi="方正仿宋_GBK" w:eastAsia="方正仿宋_GBK" w:cs="方正仿宋_GBK"/>
          <w:color w:val="auto"/>
          <w:sz w:val="33"/>
          <w:szCs w:val="33"/>
        </w:rPr>
        <w:t>市、县级人民政府应当依托成渝地区双城经济圈、</w:t>
      </w:r>
      <w:r>
        <w:rPr>
          <w:rFonts w:hint="eastAsia" w:eastAsia="方正仿宋_GBK" w:cs="方正仿宋_GBK"/>
          <w:color w:val="auto"/>
          <w:sz w:val="33"/>
          <w:szCs w:val="33"/>
        </w:rPr>
        <w:t>巴蜀文化旅游走廊</w:t>
      </w:r>
      <w:r>
        <w:rPr>
          <w:rFonts w:hint="eastAsia" w:ascii="方正仿宋_GBK" w:hAnsi="方正仿宋_GBK" w:eastAsia="方正仿宋_GBK" w:cs="方正仿宋_GBK"/>
          <w:color w:val="auto"/>
          <w:sz w:val="33"/>
          <w:szCs w:val="33"/>
        </w:rPr>
        <w:t>等建设，加强交流合作，协同开展红色资源保护传承工作。</w:t>
      </w:r>
    </w:p>
    <w:p>
      <w:pPr>
        <w:overflowPunct w:val="0"/>
        <w:autoSpaceDE w:val="0"/>
        <w:autoSpaceDN w:val="0"/>
        <w:adjustRightInd w:val="0"/>
        <w:snapToGrid w:val="0"/>
        <w:spacing w:line="590" w:lineRule="exact"/>
        <w:ind w:firstLine="680" w:firstLineChars="200"/>
        <w:textAlignment w:val="baseline"/>
        <w:rPr>
          <w:rFonts w:ascii="方正仿宋_GBK" w:hAnsi="方正仿宋_GBK" w:eastAsia="方正仿宋_GBK" w:cs="方正仿宋_GBK"/>
          <w:color w:val="auto"/>
          <w:sz w:val="33"/>
          <w:szCs w:val="33"/>
        </w:rPr>
      </w:pPr>
      <w:r>
        <w:rPr>
          <w:rFonts w:hint="eastAsia" w:ascii="方正仿宋_GBK" w:hAnsi="方正仿宋_GBK" w:eastAsia="方正仿宋_GBK" w:cs="方正仿宋_GBK"/>
          <w:color w:val="auto"/>
          <w:sz w:val="33"/>
          <w:szCs w:val="33"/>
        </w:rPr>
        <w:t>市、县级文化</w:t>
      </w:r>
      <w:r>
        <w:rPr>
          <w:rFonts w:hint="eastAsia" w:ascii="方正仿宋_GBK" w:hAnsi="方正仿宋_GBK" w:eastAsia="方正仿宋_GBK" w:cs="方正仿宋_GBK"/>
          <w:color w:val="auto"/>
          <w:sz w:val="33"/>
          <w:szCs w:val="33"/>
          <w:lang w:eastAsia="zh-CN"/>
        </w:rPr>
        <w:t>和</w:t>
      </w:r>
      <w:r>
        <w:rPr>
          <w:rFonts w:hint="eastAsia" w:ascii="方正仿宋_GBK" w:hAnsi="方正仿宋_GBK" w:eastAsia="方正仿宋_GBK" w:cs="方正仿宋_GBK"/>
          <w:color w:val="auto"/>
          <w:sz w:val="33"/>
          <w:szCs w:val="33"/>
        </w:rPr>
        <w:t>旅游</w:t>
      </w:r>
      <w:r>
        <w:rPr>
          <w:rFonts w:hint="eastAsia" w:ascii="方正仿宋_GBK" w:hAnsi="方正仿宋_GBK" w:eastAsia="方正仿宋_GBK" w:cs="方正仿宋_GBK"/>
          <w:color w:val="auto"/>
          <w:sz w:val="33"/>
          <w:szCs w:val="33"/>
          <w:lang w:eastAsia="zh-CN"/>
        </w:rPr>
        <w:t>主管</w:t>
      </w:r>
      <w:r>
        <w:rPr>
          <w:rFonts w:hint="eastAsia" w:ascii="方正仿宋_GBK" w:hAnsi="方正仿宋_GBK" w:eastAsia="方正仿宋_GBK" w:cs="方正仿宋_GBK"/>
          <w:color w:val="auto"/>
          <w:sz w:val="33"/>
          <w:szCs w:val="33"/>
        </w:rPr>
        <w:t>部门应当加强红色旅游的跨区域合作，</w:t>
      </w:r>
      <w:r>
        <w:rPr>
          <w:rFonts w:hint="eastAsia" w:eastAsia="方正仿宋_GBK" w:cs="方正仿宋_GBK"/>
          <w:color w:val="auto"/>
          <w:sz w:val="33"/>
          <w:szCs w:val="33"/>
        </w:rPr>
        <w:t>结合伟人将帅故里、红岩等同类红色资源优势，联合培育旅游品牌，共同打造</w:t>
      </w:r>
      <w:r>
        <w:rPr>
          <w:rFonts w:hint="eastAsia" w:ascii="方正仿宋_GBK" w:hAnsi="方正仿宋_GBK" w:eastAsia="方正仿宋_GBK" w:cs="方正仿宋_GBK"/>
          <w:color w:val="auto"/>
          <w:sz w:val="33"/>
          <w:szCs w:val="33"/>
        </w:rPr>
        <w:t>红色旅游圈。</w:t>
      </w:r>
    </w:p>
    <w:p>
      <w:pPr>
        <w:overflowPunct w:val="0"/>
        <w:autoSpaceDE w:val="0"/>
        <w:autoSpaceDN w:val="0"/>
        <w:adjustRightInd w:val="0"/>
        <w:snapToGrid w:val="0"/>
        <w:spacing w:line="590" w:lineRule="exact"/>
        <w:ind w:firstLine="680" w:firstLineChars="200"/>
        <w:textAlignment w:val="baseline"/>
        <w:rPr>
          <w:rFonts w:ascii="方正仿宋_GBK" w:hAnsi="方正仿宋_GBK" w:eastAsia="方正仿宋_GBK" w:cs="方正仿宋_GBK"/>
          <w:color w:val="auto"/>
          <w:sz w:val="33"/>
          <w:szCs w:val="33"/>
        </w:rPr>
      </w:pPr>
      <w:r>
        <w:rPr>
          <w:rFonts w:hint="eastAsia" w:ascii="方正仿宋_GBK" w:hAnsi="方正仿宋_GBK" w:eastAsia="方正仿宋_GBK" w:cs="方正仿宋_GBK"/>
          <w:color w:val="auto"/>
          <w:sz w:val="33"/>
          <w:szCs w:val="33"/>
        </w:rPr>
        <w:t>鼓励</w:t>
      </w:r>
      <w:r>
        <w:rPr>
          <w:rFonts w:hint="eastAsia" w:eastAsia="方正仿宋_GBK" w:cs="方正仿宋_GBK"/>
          <w:color w:val="auto"/>
          <w:sz w:val="33"/>
          <w:szCs w:val="33"/>
        </w:rPr>
        <w:t>党校（干部学院）、</w:t>
      </w:r>
      <w:r>
        <w:rPr>
          <w:rFonts w:hint="eastAsia" w:ascii="方正仿宋_GBK" w:hAnsi="方正仿宋_GBK" w:eastAsia="方正仿宋_GBK" w:cs="方正仿宋_GBK"/>
          <w:color w:val="auto"/>
          <w:sz w:val="33"/>
          <w:szCs w:val="33"/>
        </w:rPr>
        <w:t>高等院校、党史馆、档案馆、</w:t>
      </w:r>
      <w:r>
        <w:rPr>
          <w:rFonts w:hint="eastAsia" w:eastAsia="方正仿宋_GBK" w:cs="方正仿宋_GBK"/>
          <w:color w:val="auto"/>
          <w:sz w:val="33"/>
          <w:szCs w:val="33"/>
        </w:rPr>
        <w:t>纪念馆</w:t>
      </w:r>
      <w:r>
        <w:rPr>
          <w:rFonts w:hint="eastAsia" w:ascii="方正仿宋_GBK" w:hAnsi="方正仿宋_GBK" w:eastAsia="方正仿宋_GBK" w:cs="方正仿宋_GBK"/>
          <w:color w:val="auto"/>
          <w:sz w:val="33"/>
          <w:szCs w:val="33"/>
        </w:rPr>
        <w:t>等开展跨区域红色文化合作研究，提升</w:t>
      </w:r>
      <w:r>
        <w:rPr>
          <w:rFonts w:hint="eastAsia" w:eastAsia="方正仿宋_GBK" w:cs="方正仿宋_GBK"/>
          <w:color w:val="auto"/>
          <w:sz w:val="33"/>
          <w:szCs w:val="33"/>
        </w:rPr>
        <w:t>广安</w:t>
      </w:r>
      <w:r>
        <w:rPr>
          <w:rFonts w:hint="eastAsia" w:ascii="方正仿宋_GBK" w:hAnsi="方正仿宋_GBK" w:eastAsia="方正仿宋_GBK" w:cs="方正仿宋_GBK"/>
          <w:color w:val="auto"/>
          <w:sz w:val="33"/>
          <w:szCs w:val="33"/>
        </w:rPr>
        <w:t>在红色文化领域的影响力。</w:t>
      </w:r>
    </w:p>
    <w:p>
      <w:pPr>
        <w:overflowPunct w:val="0"/>
        <w:autoSpaceDE w:val="0"/>
        <w:autoSpaceDN w:val="0"/>
        <w:adjustRightInd w:val="0"/>
        <w:snapToGrid w:val="0"/>
        <w:spacing w:line="590" w:lineRule="exact"/>
        <w:ind w:firstLine="704" w:firstLineChars="200"/>
        <w:textAlignment w:val="baseline"/>
        <w:rPr>
          <w:rFonts w:hint="eastAsia" w:ascii="方正仿宋_GBK" w:hAnsi="方正仿宋_GBK" w:eastAsia="方正仿宋_GBK" w:cs="方正仿宋_GBK"/>
          <w:color w:val="auto"/>
          <w:spacing w:val="6"/>
          <w:sz w:val="33"/>
          <w:szCs w:val="33"/>
        </w:rPr>
      </w:pPr>
      <w:r>
        <w:rPr>
          <w:rFonts w:hint="eastAsia" w:ascii="方正仿宋_GBK" w:hAnsi="方正仿宋_GBK" w:eastAsia="方正仿宋_GBK" w:cs="方正仿宋_GBK"/>
          <w:color w:val="auto"/>
          <w:spacing w:val="6"/>
          <w:sz w:val="33"/>
          <w:szCs w:val="33"/>
        </w:rPr>
        <w:t>鼓励博物馆、图书馆、美术馆、方志馆等加强红色资源跨区域馆际交流，推动在资源共享、展览展示、保护利用等领域的合作。</w:t>
      </w:r>
    </w:p>
    <w:p>
      <w:pPr>
        <w:overflowPunct w:val="0"/>
        <w:autoSpaceDE w:val="0"/>
        <w:autoSpaceDN w:val="0"/>
        <w:adjustRightInd w:val="0"/>
        <w:snapToGrid w:val="0"/>
        <w:spacing w:line="590" w:lineRule="exact"/>
        <w:jc w:val="center"/>
        <w:outlineLvl w:val="0"/>
        <w:rPr>
          <w:rFonts w:hint="eastAsia" w:ascii="方正黑体_GBK" w:hAnsi="方正黑体_GBK" w:eastAsia="方正黑体_GBK" w:cs="方正黑体_GBK"/>
          <w:color w:val="auto"/>
          <w:kern w:val="44"/>
          <w:sz w:val="33"/>
          <w:szCs w:val="33"/>
        </w:rPr>
      </w:pPr>
      <w:bookmarkStart w:id="60" w:name="_Toc2796"/>
      <w:bookmarkStart w:id="61" w:name="_Toc26605"/>
      <w:bookmarkStart w:id="62" w:name="_Toc162253127"/>
    </w:p>
    <w:p>
      <w:pPr>
        <w:overflowPunct w:val="0"/>
        <w:autoSpaceDE w:val="0"/>
        <w:autoSpaceDN w:val="0"/>
        <w:adjustRightInd w:val="0"/>
        <w:snapToGrid w:val="0"/>
        <w:spacing w:line="590" w:lineRule="exact"/>
        <w:jc w:val="center"/>
        <w:outlineLvl w:val="0"/>
        <w:rPr>
          <w:rFonts w:ascii="方正黑体_GBK" w:hAnsi="方正黑体_GBK" w:eastAsia="方正黑体_GBK" w:cs="方正黑体_GBK"/>
          <w:color w:val="auto"/>
          <w:kern w:val="44"/>
          <w:sz w:val="33"/>
          <w:szCs w:val="33"/>
        </w:rPr>
      </w:pPr>
      <w:r>
        <w:rPr>
          <w:rFonts w:hint="eastAsia" w:ascii="方正黑体_GBK" w:hAnsi="方正黑体_GBK" w:eastAsia="方正黑体_GBK" w:cs="方正黑体_GBK"/>
          <w:color w:val="auto"/>
          <w:kern w:val="44"/>
          <w:sz w:val="33"/>
          <w:szCs w:val="33"/>
        </w:rPr>
        <w:t>第五章 法律责任</w:t>
      </w:r>
      <w:bookmarkEnd w:id="60"/>
      <w:bookmarkEnd w:id="61"/>
      <w:bookmarkEnd w:id="62"/>
    </w:p>
    <w:p>
      <w:pPr>
        <w:overflowPunct w:val="0"/>
        <w:autoSpaceDE w:val="0"/>
        <w:autoSpaceDN w:val="0"/>
        <w:adjustRightInd w:val="0"/>
        <w:snapToGrid w:val="0"/>
        <w:spacing w:line="590" w:lineRule="exact"/>
        <w:ind w:firstLine="680" w:firstLineChars="200"/>
        <w:outlineLvl w:val="1"/>
        <w:rPr>
          <w:rFonts w:ascii="方正楷体_GBK" w:hAnsi="方正楷体_GBK" w:eastAsia="方正楷体_GBK" w:cs="方正楷体_GBK"/>
          <w:color w:val="auto"/>
          <w:sz w:val="33"/>
          <w:szCs w:val="33"/>
        </w:rPr>
      </w:pPr>
      <w:bookmarkStart w:id="63" w:name="_Toc162253128"/>
    </w:p>
    <w:p>
      <w:pPr>
        <w:overflowPunct w:val="0"/>
        <w:autoSpaceDE w:val="0"/>
        <w:autoSpaceDN w:val="0"/>
        <w:adjustRightInd w:val="0"/>
        <w:snapToGrid w:val="0"/>
        <w:spacing w:line="590" w:lineRule="exact"/>
        <w:ind w:firstLine="680" w:firstLineChars="200"/>
        <w:outlineLvl w:val="1"/>
        <w:rPr>
          <w:rFonts w:hint="eastAsia" w:ascii="方正楷体_GBK" w:hAnsi="方正楷体_GBK" w:eastAsia="方正楷体_GBK" w:cs="方正楷体_GBK"/>
          <w:b/>
          <w:bCs/>
          <w:color w:val="auto"/>
          <w:sz w:val="33"/>
          <w:szCs w:val="33"/>
        </w:rPr>
      </w:pPr>
      <w:bookmarkStart w:id="64" w:name="_Toc28406"/>
      <w:bookmarkStart w:id="65" w:name="_Toc10351"/>
      <w:r>
        <w:rPr>
          <w:rFonts w:hint="eastAsia" w:ascii="方正楷体_GBK" w:hAnsi="方正楷体_GBK" w:eastAsia="方正楷体_GBK" w:cs="方正楷体_GBK"/>
          <w:b/>
          <w:bCs/>
          <w:color w:val="auto"/>
          <w:sz w:val="33"/>
          <w:szCs w:val="33"/>
        </w:rPr>
        <w:t>第三十</w:t>
      </w:r>
      <w:r>
        <w:rPr>
          <w:rFonts w:hint="eastAsia" w:ascii="方正楷体_GBK" w:hAnsi="方正楷体_GBK" w:eastAsia="方正楷体_GBK" w:cs="方正楷体_GBK"/>
          <w:b/>
          <w:bCs/>
          <w:color w:val="auto"/>
          <w:sz w:val="33"/>
          <w:szCs w:val="33"/>
          <w:lang w:eastAsia="zh-CN"/>
        </w:rPr>
        <w:t>一</w:t>
      </w:r>
      <w:r>
        <w:rPr>
          <w:rFonts w:hint="eastAsia" w:ascii="方正楷体_GBK" w:hAnsi="方正楷体_GBK" w:eastAsia="方正楷体_GBK" w:cs="方正楷体_GBK"/>
          <w:b/>
          <w:bCs/>
          <w:color w:val="auto"/>
          <w:sz w:val="33"/>
          <w:szCs w:val="33"/>
        </w:rPr>
        <w:t>条【</w:t>
      </w:r>
      <w:r>
        <w:rPr>
          <w:rFonts w:hint="eastAsia" w:ascii="方正楷体_GBK" w:hAnsi="方正楷体_GBK" w:eastAsia="方正楷体_GBK" w:cs="方正楷体_GBK"/>
          <w:b/>
          <w:bCs/>
          <w:color w:val="auto"/>
          <w:sz w:val="33"/>
          <w:szCs w:val="33"/>
          <w:lang w:val="en-US" w:eastAsia="zh-CN"/>
        </w:rPr>
        <w:t>督促履职</w:t>
      </w:r>
      <w:r>
        <w:rPr>
          <w:rFonts w:hint="eastAsia" w:ascii="方正楷体_GBK" w:hAnsi="方正楷体_GBK" w:eastAsia="方正楷体_GBK" w:cs="方正楷体_GBK"/>
          <w:b/>
          <w:bCs/>
          <w:color w:val="auto"/>
          <w:sz w:val="33"/>
          <w:szCs w:val="33"/>
        </w:rPr>
        <w:t>】</w:t>
      </w:r>
    </w:p>
    <w:p>
      <w:pPr>
        <w:overflowPunct w:val="0"/>
        <w:autoSpaceDE w:val="0"/>
        <w:autoSpaceDN w:val="0"/>
        <w:adjustRightInd w:val="0"/>
        <w:snapToGrid w:val="0"/>
        <w:spacing w:line="590" w:lineRule="exact"/>
        <w:ind w:firstLine="680" w:firstLineChars="200"/>
        <w:textAlignment w:val="baseline"/>
        <w:rPr>
          <w:rFonts w:hint="eastAsia" w:ascii="方正仿宋_GBK" w:hAnsi="方正仿宋_GBK" w:eastAsia="方正仿宋_GBK" w:cs="方正仿宋_GBK"/>
          <w:color w:val="auto"/>
          <w:sz w:val="33"/>
          <w:szCs w:val="33"/>
        </w:rPr>
      </w:pPr>
      <w:r>
        <w:rPr>
          <w:rFonts w:hint="eastAsia" w:ascii="方正仿宋_GBK" w:hAnsi="方正仿宋_GBK" w:eastAsia="方正仿宋_GBK" w:cs="方正仿宋_GBK"/>
          <w:color w:val="auto"/>
          <w:sz w:val="33"/>
          <w:szCs w:val="33"/>
        </w:rPr>
        <w:t>市、县级人民政府及其相关部门应当加强对红色资源保护传承情况的监督检查，对不能有效履行保护责任的，通过警示提醒、约谈等方式督促相关保护责任人履行职责。</w:t>
      </w:r>
    </w:p>
    <w:p>
      <w:pPr>
        <w:overflowPunct w:val="0"/>
        <w:autoSpaceDE w:val="0"/>
        <w:autoSpaceDN w:val="0"/>
        <w:adjustRightInd w:val="0"/>
        <w:snapToGrid w:val="0"/>
        <w:spacing w:line="590" w:lineRule="exact"/>
        <w:ind w:firstLine="680" w:firstLineChars="200"/>
        <w:outlineLvl w:val="1"/>
        <w:rPr>
          <w:rFonts w:hint="eastAsia" w:ascii="方正楷体_GBK" w:hAnsi="方正楷体_GBK" w:eastAsia="方正楷体_GBK" w:cs="方正楷体_GBK"/>
          <w:b/>
          <w:bCs/>
          <w:color w:val="auto"/>
          <w:sz w:val="33"/>
          <w:szCs w:val="33"/>
        </w:rPr>
      </w:pPr>
      <w:r>
        <w:rPr>
          <w:rFonts w:hint="eastAsia" w:ascii="方正楷体_GBK" w:hAnsi="方正楷体_GBK" w:eastAsia="方正楷体_GBK" w:cs="方正楷体_GBK"/>
          <w:b/>
          <w:bCs/>
          <w:color w:val="auto"/>
          <w:sz w:val="33"/>
          <w:szCs w:val="33"/>
        </w:rPr>
        <w:t>第三十</w:t>
      </w:r>
      <w:r>
        <w:rPr>
          <w:rFonts w:hint="eastAsia" w:ascii="方正楷体_GBK" w:hAnsi="方正楷体_GBK" w:eastAsia="方正楷体_GBK" w:cs="方正楷体_GBK"/>
          <w:b/>
          <w:bCs/>
          <w:color w:val="auto"/>
          <w:sz w:val="33"/>
          <w:szCs w:val="33"/>
          <w:lang w:eastAsia="zh-CN"/>
        </w:rPr>
        <w:t>二</w:t>
      </w:r>
      <w:r>
        <w:rPr>
          <w:rFonts w:hint="eastAsia" w:ascii="方正楷体_GBK" w:hAnsi="方正楷体_GBK" w:eastAsia="方正楷体_GBK" w:cs="方正楷体_GBK"/>
          <w:b/>
          <w:bCs/>
          <w:color w:val="auto"/>
          <w:sz w:val="33"/>
          <w:szCs w:val="33"/>
        </w:rPr>
        <w:t>条</w:t>
      </w:r>
      <w:bookmarkEnd w:id="63"/>
      <w:bookmarkEnd w:id="64"/>
      <w:bookmarkEnd w:id="65"/>
      <w:bookmarkStart w:id="66" w:name="_Toc30587"/>
      <w:bookmarkStart w:id="67" w:name="_Toc162253131"/>
      <w:r>
        <w:rPr>
          <w:rFonts w:hint="eastAsia" w:ascii="方正楷体_GBK" w:hAnsi="方正楷体_GBK" w:eastAsia="方正楷体_GBK" w:cs="方正楷体_GBK"/>
          <w:b/>
          <w:bCs/>
          <w:color w:val="auto"/>
          <w:sz w:val="33"/>
          <w:szCs w:val="33"/>
        </w:rPr>
        <w:t>【违法排放污染物法律责任】</w:t>
      </w:r>
    </w:p>
    <w:p>
      <w:pPr>
        <w:overflowPunct w:val="0"/>
        <w:autoSpaceDE w:val="0"/>
        <w:autoSpaceDN w:val="0"/>
        <w:adjustRightInd w:val="0"/>
        <w:snapToGrid w:val="0"/>
        <w:spacing w:line="590" w:lineRule="exact"/>
        <w:ind w:firstLine="680" w:firstLineChars="200"/>
        <w:textAlignment w:val="baseline"/>
        <w:rPr>
          <w:rFonts w:hint="eastAsia" w:ascii="方正仿宋_GBK" w:hAnsi="方正仿宋_GBK" w:eastAsia="方正仿宋_GBK" w:cs="方正仿宋_GBK"/>
          <w:color w:val="auto"/>
          <w:sz w:val="33"/>
          <w:szCs w:val="33"/>
        </w:rPr>
      </w:pPr>
      <w:r>
        <w:rPr>
          <w:rFonts w:hint="eastAsia" w:ascii="方正仿宋_GBK" w:hAnsi="方正仿宋_GBK" w:eastAsia="方正仿宋_GBK" w:cs="方正仿宋_GBK"/>
          <w:color w:val="auto"/>
          <w:sz w:val="33"/>
          <w:szCs w:val="33"/>
        </w:rPr>
        <w:t>违反本条例规定，在不可移动红色资源保护范围内违法排放污染物，倾倒、焚烧垃圾和其他废弃物，由生态环境、住房城乡建设等主管部门依法给予处罚；造成损失的，依法承担赔偿责任；构成犯罪的，依法追究刑事责任。</w:t>
      </w:r>
    </w:p>
    <w:p>
      <w:pPr>
        <w:overflowPunct w:val="0"/>
        <w:autoSpaceDE w:val="0"/>
        <w:autoSpaceDN w:val="0"/>
        <w:adjustRightInd w:val="0"/>
        <w:snapToGrid w:val="0"/>
        <w:spacing w:line="590" w:lineRule="exact"/>
        <w:ind w:firstLine="680" w:firstLineChars="200"/>
        <w:outlineLvl w:val="1"/>
        <w:rPr>
          <w:rFonts w:hint="eastAsia" w:ascii="方正楷体_GBK" w:hAnsi="方正楷体_GBK" w:eastAsia="方正楷体_GBK" w:cs="方正楷体_GBK"/>
          <w:b/>
          <w:bCs/>
          <w:color w:val="auto"/>
          <w:sz w:val="33"/>
          <w:szCs w:val="33"/>
        </w:rPr>
      </w:pPr>
      <w:r>
        <w:rPr>
          <w:rFonts w:hint="eastAsia" w:ascii="方正楷体_GBK" w:hAnsi="方正楷体_GBK" w:eastAsia="方正楷体_GBK" w:cs="方正楷体_GBK"/>
          <w:b/>
          <w:bCs/>
          <w:color w:val="auto"/>
          <w:sz w:val="33"/>
          <w:szCs w:val="33"/>
        </w:rPr>
        <w:t>第三十</w:t>
      </w:r>
      <w:r>
        <w:rPr>
          <w:rFonts w:hint="eastAsia" w:ascii="方正楷体_GBK" w:hAnsi="方正楷体_GBK" w:eastAsia="方正楷体_GBK" w:cs="方正楷体_GBK"/>
          <w:b/>
          <w:bCs/>
          <w:color w:val="auto"/>
          <w:sz w:val="33"/>
          <w:szCs w:val="33"/>
          <w:lang w:eastAsia="zh-CN"/>
        </w:rPr>
        <w:t>三</w:t>
      </w:r>
      <w:r>
        <w:rPr>
          <w:rFonts w:hint="eastAsia" w:ascii="方正楷体_GBK" w:hAnsi="方正楷体_GBK" w:eastAsia="方正楷体_GBK" w:cs="方正楷体_GBK"/>
          <w:b/>
          <w:bCs/>
          <w:color w:val="auto"/>
          <w:sz w:val="33"/>
          <w:szCs w:val="33"/>
        </w:rPr>
        <w:t>条【歪曲、丑化、亵渎、否定红色精神资源法律责任】</w:t>
      </w:r>
      <w:bookmarkEnd w:id="66"/>
      <w:bookmarkEnd w:id="67"/>
    </w:p>
    <w:p>
      <w:pPr>
        <w:overflowPunct w:val="0"/>
        <w:autoSpaceDE w:val="0"/>
        <w:autoSpaceDN w:val="0"/>
        <w:adjustRightInd w:val="0"/>
        <w:snapToGrid w:val="0"/>
        <w:spacing w:line="590" w:lineRule="exact"/>
        <w:ind w:firstLine="680" w:firstLineChars="200"/>
        <w:rPr>
          <w:rFonts w:hint="eastAsia" w:eastAsia="方正仿宋_GBK" w:cs="方正仿宋_GBK"/>
          <w:color w:val="auto"/>
          <w:sz w:val="33"/>
          <w:szCs w:val="33"/>
        </w:rPr>
      </w:pPr>
      <w:bookmarkStart w:id="68" w:name="_Toc162253132"/>
      <w:bookmarkStart w:id="69" w:name="_Toc26197"/>
      <w:bookmarkStart w:id="70" w:name="_Toc9096"/>
      <w:r>
        <w:rPr>
          <w:rFonts w:hint="eastAsia" w:eastAsia="方正仿宋_GBK" w:cs="方正仿宋_GBK"/>
          <w:color w:val="auto"/>
          <w:sz w:val="33"/>
          <w:szCs w:val="33"/>
        </w:rPr>
        <w:t>违反本条例规定，</w:t>
      </w:r>
      <w:bookmarkStart w:id="71" w:name="_Hlk171608212"/>
      <w:r>
        <w:rPr>
          <w:rFonts w:hint="eastAsia" w:eastAsia="方正仿宋_GBK" w:cs="方正仿宋_GBK"/>
          <w:color w:val="auto"/>
          <w:sz w:val="33"/>
          <w:szCs w:val="33"/>
        </w:rPr>
        <w:t>歪曲、丑化、亵渎、否定红色精神资源</w:t>
      </w:r>
      <w:bookmarkEnd w:id="71"/>
      <w:r>
        <w:rPr>
          <w:rFonts w:hint="eastAsia" w:eastAsia="方正仿宋_GBK" w:cs="方正仿宋_GBK"/>
          <w:color w:val="auto"/>
          <w:sz w:val="33"/>
          <w:szCs w:val="33"/>
        </w:rPr>
        <w:t>的，由有关主管部门</w:t>
      </w:r>
      <w:r>
        <w:rPr>
          <w:rFonts w:hint="eastAsia" w:eastAsia="方正仿宋_GBK" w:cs="方正仿宋_GBK"/>
          <w:color w:val="auto"/>
          <w:sz w:val="33"/>
          <w:szCs w:val="33"/>
          <w:lang w:val="en-US" w:eastAsia="zh-CN"/>
        </w:rPr>
        <w:t>按照法定职责给予</w:t>
      </w:r>
      <w:r>
        <w:rPr>
          <w:rFonts w:hint="eastAsia" w:eastAsia="方正仿宋_GBK" w:cs="方正仿宋_GBK"/>
          <w:color w:val="auto"/>
          <w:sz w:val="33"/>
          <w:szCs w:val="33"/>
        </w:rPr>
        <w:t>批评教</w:t>
      </w:r>
      <w:r>
        <w:rPr>
          <w:rFonts w:hint="eastAsia" w:ascii="Times New Roman" w:hAnsi="Times New Roman" w:eastAsia="方正仿宋_GBK" w:cs="方正仿宋_GBK"/>
          <w:color w:val="auto"/>
          <w:sz w:val="33"/>
          <w:szCs w:val="33"/>
        </w:rPr>
        <w:t>育</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造成不良社会影响的，应当责令及时消除影响，并依法予以处罚。构成违反治安管理行为的，依法给予治安管理处罚；构成</w:t>
      </w:r>
      <w:r>
        <w:rPr>
          <w:rFonts w:hint="eastAsia" w:eastAsia="方正仿宋_GBK" w:cs="方正仿宋_GBK"/>
          <w:color w:val="auto"/>
          <w:sz w:val="33"/>
          <w:szCs w:val="33"/>
        </w:rPr>
        <w:t>犯罪的，依法追究刑事责任。</w:t>
      </w:r>
    </w:p>
    <w:p>
      <w:pPr>
        <w:overflowPunct w:val="0"/>
        <w:autoSpaceDE w:val="0"/>
        <w:autoSpaceDN w:val="0"/>
        <w:adjustRightInd w:val="0"/>
        <w:snapToGrid w:val="0"/>
        <w:spacing w:line="590" w:lineRule="exact"/>
        <w:ind w:firstLine="680" w:firstLineChars="200"/>
        <w:outlineLvl w:val="1"/>
        <w:rPr>
          <w:rFonts w:hint="eastAsia" w:ascii="方正楷体_GBK" w:hAnsi="方正楷体_GBK" w:eastAsia="方正楷体_GBK" w:cs="方正楷体_GBK"/>
          <w:b/>
          <w:bCs/>
          <w:color w:val="auto"/>
          <w:sz w:val="33"/>
          <w:szCs w:val="33"/>
        </w:rPr>
      </w:pPr>
      <w:r>
        <w:rPr>
          <w:rFonts w:hint="eastAsia" w:ascii="方正楷体_GBK" w:hAnsi="方正楷体_GBK" w:eastAsia="方正楷体_GBK" w:cs="方正楷体_GBK"/>
          <w:b/>
          <w:bCs/>
          <w:color w:val="auto"/>
          <w:sz w:val="33"/>
          <w:szCs w:val="33"/>
        </w:rPr>
        <w:t>第三十</w:t>
      </w:r>
      <w:r>
        <w:rPr>
          <w:rFonts w:hint="eastAsia" w:ascii="方正楷体_GBK" w:hAnsi="方正楷体_GBK" w:eastAsia="方正楷体_GBK" w:cs="方正楷体_GBK"/>
          <w:b/>
          <w:bCs/>
          <w:color w:val="auto"/>
          <w:sz w:val="33"/>
          <w:szCs w:val="33"/>
          <w:lang w:eastAsia="zh-CN"/>
        </w:rPr>
        <w:t>四</w:t>
      </w:r>
      <w:r>
        <w:rPr>
          <w:rFonts w:hint="eastAsia" w:ascii="方正楷体_GBK" w:hAnsi="方正楷体_GBK" w:eastAsia="方正楷体_GBK" w:cs="方正楷体_GBK"/>
          <w:b/>
          <w:bCs/>
          <w:color w:val="auto"/>
          <w:sz w:val="33"/>
          <w:szCs w:val="33"/>
        </w:rPr>
        <w:t>条【政府及部门法律责任】</w:t>
      </w:r>
    </w:p>
    <w:p>
      <w:pPr>
        <w:overflowPunct w:val="0"/>
        <w:autoSpaceDE w:val="0"/>
        <w:autoSpaceDN w:val="0"/>
        <w:adjustRightInd w:val="0"/>
        <w:snapToGrid w:val="0"/>
        <w:spacing w:line="590" w:lineRule="exact"/>
        <w:ind w:firstLine="680" w:firstLineChars="200"/>
        <w:textAlignment w:val="baseline"/>
        <w:rPr>
          <w:rFonts w:eastAsia="方正仿宋_GBK" w:cs="方正仿宋_GBK"/>
          <w:color w:val="auto"/>
          <w:sz w:val="33"/>
          <w:szCs w:val="33"/>
        </w:rPr>
      </w:pPr>
      <w:r>
        <w:rPr>
          <w:rFonts w:hint="eastAsia" w:eastAsia="方正仿宋_GBK" w:cs="方正仿宋_GBK"/>
          <w:color w:val="auto"/>
          <w:sz w:val="33"/>
          <w:szCs w:val="33"/>
        </w:rPr>
        <w:t>国家机关、有关部门及其工作人员在红色资源保护传承工作中滥用职权、玩忽职守、徇私舞弊的，对直接负责的主管人员和其他直接责任人员，依照法律、法规和有关规定追究责任；构成犯罪的，依法追究刑事责任。</w:t>
      </w:r>
    </w:p>
    <w:bookmarkEnd w:id="68"/>
    <w:bookmarkEnd w:id="69"/>
    <w:bookmarkEnd w:id="70"/>
    <w:p>
      <w:pPr>
        <w:overflowPunct w:val="0"/>
        <w:autoSpaceDE w:val="0"/>
        <w:autoSpaceDN w:val="0"/>
        <w:adjustRightInd w:val="0"/>
        <w:snapToGrid w:val="0"/>
        <w:spacing w:line="590" w:lineRule="exact"/>
        <w:ind w:firstLine="680" w:firstLineChars="200"/>
        <w:textAlignment w:val="baseline"/>
        <w:rPr>
          <w:rFonts w:eastAsia="方正仿宋_GBK" w:cs="方正仿宋_GBK"/>
          <w:color w:val="auto"/>
          <w:sz w:val="33"/>
          <w:szCs w:val="33"/>
        </w:rPr>
      </w:pPr>
      <w:r>
        <w:rPr>
          <w:rFonts w:hint="eastAsia" w:ascii="方正楷体_GBK" w:hAnsi="方正楷体_GBK" w:eastAsia="方正楷体_GBK" w:cs="方正楷体_GBK"/>
          <w:b/>
          <w:bCs/>
          <w:color w:val="auto"/>
          <w:sz w:val="33"/>
          <w:szCs w:val="33"/>
        </w:rPr>
        <w:t>第三十</w:t>
      </w:r>
      <w:r>
        <w:rPr>
          <w:rFonts w:hint="eastAsia" w:ascii="方正楷体_GBK" w:hAnsi="方正楷体_GBK" w:eastAsia="方正楷体_GBK" w:cs="方正楷体_GBK"/>
          <w:b/>
          <w:bCs/>
          <w:color w:val="auto"/>
          <w:sz w:val="33"/>
          <w:szCs w:val="33"/>
          <w:lang w:eastAsia="zh-CN"/>
        </w:rPr>
        <w:t>五</w:t>
      </w:r>
      <w:r>
        <w:rPr>
          <w:rFonts w:hint="eastAsia" w:ascii="方正楷体_GBK" w:hAnsi="方正楷体_GBK" w:eastAsia="方正楷体_GBK" w:cs="方正楷体_GBK"/>
          <w:b/>
          <w:bCs/>
          <w:color w:val="auto"/>
          <w:sz w:val="33"/>
          <w:szCs w:val="33"/>
        </w:rPr>
        <w:t>条【转致条款】</w:t>
      </w:r>
      <w:r>
        <w:rPr>
          <w:rFonts w:hint="eastAsia" w:eastAsia="方正仿宋_GBK" w:cs="方正仿宋_GBK"/>
          <w:color w:val="auto"/>
          <w:sz w:val="33"/>
          <w:szCs w:val="33"/>
        </w:rPr>
        <w:t>违反本条例规定的行为，法律、法规已经规定法律责任的，适用其规定。</w:t>
      </w:r>
    </w:p>
    <w:p>
      <w:pPr>
        <w:overflowPunct w:val="0"/>
        <w:autoSpaceDE w:val="0"/>
        <w:autoSpaceDN w:val="0"/>
        <w:adjustRightInd w:val="0"/>
        <w:snapToGrid w:val="0"/>
        <w:spacing w:line="590" w:lineRule="exact"/>
        <w:rPr>
          <w:rFonts w:eastAsia="方正仿宋_GBK" w:cs="方正仿宋_GBK"/>
          <w:color w:val="auto"/>
          <w:sz w:val="33"/>
          <w:szCs w:val="33"/>
        </w:rPr>
      </w:pPr>
    </w:p>
    <w:p>
      <w:pPr>
        <w:overflowPunct w:val="0"/>
        <w:autoSpaceDE w:val="0"/>
        <w:autoSpaceDN w:val="0"/>
        <w:adjustRightInd w:val="0"/>
        <w:snapToGrid w:val="0"/>
        <w:spacing w:line="590" w:lineRule="exact"/>
        <w:jc w:val="center"/>
        <w:outlineLvl w:val="0"/>
        <w:rPr>
          <w:rFonts w:ascii="方正黑体_GBK" w:hAnsi="方正黑体_GBK" w:eastAsia="方正黑体_GBK" w:cs="方正黑体_GBK"/>
          <w:color w:val="auto"/>
          <w:kern w:val="44"/>
          <w:sz w:val="33"/>
          <w:szCs w:val="33"/>
        </w:rPr>
      </w:pPr>
      <w:bookmarkStart w:id="72" w:name="_Toc162253133"/>
      <w:bookmarkStart w:id="73" w:name="_Toc30903"/>
      <w:bookmarkStart w:id="74" w:name="_Toc790"/>
      <w:r>
        <w:rPr>
          <w:rFonts w:hint="eastAsia" w:ascii="方正黑体_GBK" w:hAnsi="方正黑体_GBK" w:eastAsia="方正黑体_GBK" w:cs="方正黑体_GBK"/>
          <w:color w:val="auto"/>
          <w:kern w:val="44"/>
          <w:sz w:val="33"/>
          <w:szCs w:val="33"/>
        </w:rPr>
        <w:t>第六章 附则</w:t>
      </w:r>
      <w:bookmarkEnd w:id="72"/>
      <w:bookmarkEnd w:id="73"/>
      <w:bookmarkEnd w:id="74"/>
    </w:p>
    <w:p>
      <w:pPr>
        <w:overflowPunct w:val="0"/>
        <w:autoSpaceDE w:val="0"/>
        <w:autoSpaceDN w:val="0"/>
        <w:adjustRightInd w:val="0"/>
        <w:snapToGrid w:val="0"/>
        <w:spacing w:line="590" w:lineRule="exact"/>
        <w:ind w:firstLine="680" w:firstLineChars="200"/>
        <w:outlineLvl w:val="1"/>
        <w:rPr>
          <w:rFonts w:ascii="方正楷体_GBK" w:hAnsi="方正楷体_GBK" w:eastAsia="方正楷体_GBK" w:cs="方正楷体_GBK"/>
          <w:color w:val="auto"/>
          <w:sz w:val="33"/>
          <w:szCs w:val="33"/>
        </w:rPr>
      </w:pPr>
      <w:bookmarkStart w:id="75" w:name="_Toc162253134"/>
    </w:p>
    <w:p>
      <w:pPr>
        <w:overflowPunct w:val="0"/>
        <w:autoSpaceDE w:val="0"/>
        <w:autoSpaceDN w:val="0"/>
        <w:adjustRightInd w:val="0"/>
        <w:snapToGrid w:val="0"/>
        <w:spacing w:line="590" w:lineRule="exact"/>
        <w:ind w:firstLine="680" w:firstLineChars="200"/>
        <w:outlineLvl w:val="1"/>
        <w:rPr>
          <w:rFonts w:ascii="方正楷体_GBK" w:hAnsi="方正楷体_GBK" w:eastAsia="方正楷体_GBK" w:cs="方正楷体_GBK"/>
          <w:color w:val="auto"/>
          <w:sz w:val="33"/>
          <w:szCs w:val="33"/>
        </w:rPr>
      </w:pPr>
      <w:bookmarkStart w:id="76" w:name="_Toc29853"/>
      <w:bookmarkStart w:id="77" w:name="_Toc17132"/>
      <w:r>
        <w:rPr>
          <w:rFonts w:hint="eastAsia" w:ascii="方正楷体_GBK" w:hAnsi="方正楷体_GBK" w:eastAsia="方正楷体_GBK" w:cs="方正楷体_GBK"/>
          <w:b/>
          <w:bCs/>
          <w:color w:val="auto"/>
          <w:sz w:val="33"/>
          <w:szCs w:val="33"/>
        </w:rPr>
        <w:t>第三十</w:t>
      </w:r>
      <w:r>
        <w:rPr>
          <w:rFonts w:hint="eastAsia" w:ascii="方正楷体_GBK" w:hAnsi="方正楷体_GBK" w:eastAsia="方正楷体_GBK" w:cs="方正楷体_GBK"/>
          <w:b/>
          <w:bCs/>
          <w:color w:val="auto"/>
          <w:sz w:val="33"/>
          <w:szCs w:val="33"/>
          <w:lang w:eastAsia="zh-CN"/>
        </w:rPr>
        <w:t>六</w:t>
      </w:r>
      <w:r>
        <w:rPr>
          <w:rFonts w:hint="eastAsia" w:ascii="方正楷体_GBK" w:hAnsi="方正楷体_GBK" w:eastAsia="方正楷体_GBK" w:cs="方正楷体_GBK"/>
          <w:b/>
          <w:bCs/>
          <w:color w:val="auto"/>
          <w:sz w:val="33"/>
          <w:szCs w:val="33"/>
        </w:rPr>
        <w:t>条【实施时间】</w:t>
      </w:r>
      <w:bookmarkEnd w:id="75"/>
      <w:bookmarkEnd w:id="76"/>
      <w:bookmarkEnd w:id="77"/>
      <w:r>
        <w:rPr>
          <w:rFonts w:hint="eastAsia" w:ascii="方正楷体_GBK" w:hAnsi="方正楷体_GBK" w:eastAsia="方正楷体_GBK" w:cs="方正楷体_GBK"/>
          <w:color w:val="auto"/>
          <w:sz w:val="33"/>
          <w:szCs w:val="33"/>
        </w:rPr>
        <w:t>　</w:t>
      </w:r>
    </w:p>
    <w:p>
      <w:pPr>
        <w:spacing w:line="590" w:lineRule="exact"/>
        <w:ind w:firstLine="680" w:firstLineChars="200"/>
        <w:rPr>
          <w:rFonts w:hint="eastAsia"/>
          <w:color w:val="auto"/>
        </w:rPr>
      </w:pPr>
      <w:r>
        <w:rPr>
          <w:rFonts w:hint="eastAsia" w:eastAsia="方正仿宋_GBK" w:cs="方正仿宋_GBK"/>
          <w:color w:val="auto"/>
          <w:sz w:val="33"/>
          <w:szCs w:val="33"/>
        </w:rPr>
        <w:t>本条例自  年 月 日起施行。</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ascii="方正黑体_GBK" w:eastAsia="方正黑体_GBK" w:cs="方正仿宋_GBK"/>
          <w:sz w:val="33"/>
          <w:szCs w:val="33"/>
        </w:rPr>
      </w:pPr>
    </w:p>
    <w:p>
      <w:pPr>
        <w:keepNext w:val="0"/>
        <w:keepLines w:val="0"/>
        <w:pageBreakBefore w:val="0"/>
        <w:widowControl w:val="0"/>
        <w:kinsoku/>
        <w:wordWrap/>
        <w:topLinePunct w:val="0"/>
        <w:bidi w:val="0"/>
        <w:spacing w:line="590" w:lineRule="exact"/>
        <w:ind w:firstLine="680" w:firstLineChars="200"/>
        <w:rPr>
          <w:rFonts w:eastAsia="方正仿宋_GBK" w:cs="方正仿宋_GBK"/>
          <w:sz w:val="33"/>
          <w:szCs w:val="33"/>
        </w:rPr>
      </w:pPr>
    </w:p>
    <w:p>
      <w:pPr>
        <w:pStyle w:val="2"/>
        <w:ind w:left="0" w:leftChars="0" w:firstLine="0" w:firstLineChars="0"/>
      </w:pPr>
    </w:p>
    <w:sectPr>
      <w:headerReference r:id="rId3" w:type="default"/>
      <w:footerReference r:id="rId4" w:type="default"/>
      <w:pgSz w:w="11906" w:h="16838"/>
      <w:pgMar w:top="2041" w:right="1531" w:bottom="1701" w:left="1531" w:header="851" w:footer="1474" w:gutter="0"/>
      <w:pgNumType w:fmt="decimal" w:start="1"/>
      <w:cols w:space="425" w:num="1"/>
      <w:docGrid w:type="linesAndChars" w:linePitch="32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OpenSymbol"/>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Open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script"/>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Calibri Light">
    <w:altName w:val="DejaVu Sans"/>
    <w:panose1 w:val="020F0302020204030204"/>
    <w:charset w:val="00"/>
    <w:family w:val="swiss"/>
    <w:pitch w:val="default"/>
    <w:sig w:usb0="00000000" w:usb1="00000000" w:usb2="00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AF389"/>
    <w:multiLevelType w:val="singleLevel"/>
    <w:tmpl w:val="2A8AF389"/>
    <w:lvl w:ilvl="0" w:tentative="0">
      <w:start w:val="2"/>
      <w:numFmt w:val="chineseCounting"/>
      <w:suff w:val="space"/>
      <w:lvlText w:val="第%1章"/>
      <w:lvlJc w:val="left"/>
      <w:rPr>
        <w:rFonts w:hint="eastAsia"/>
      </w:rPr>
    </w:lvl>
  </w:abstractNum>
  <w:abstractNum w:abstractNumId="1">
    <w:nsid w:val="2DDEFE01"/>
    <w:multiLevelType w:val="singleLevel"/>
    <w:tmpl w:val="2DDEFE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10"/>
  <w:drawingGridVerticalSpacing w:val="160"/>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iMDMxNjIzOWRkN2E1MDE2MDJlMGVjNWJlZjU3MDEifQ=="/>
    <w:docVar w:name="KGWebUrl" w:val="http://59.213.152.10:80/seeyon/officeservlet"/>
  </w:docVars>
  <w:rsids>
    <w:rsidRoot w:val="00F42E1C"/>
    <w:rsid w:val="00000DAA"/>
    <w:rsid w:val="000B2E65"/>
    <w:rsid w:val="000E1ECC"/>
    <w:rsid w:val="000E4934"/>
    <w:rsid w:val="0026049F"/>
    <w:rsid w:val="003D4BDC"/>
    <w:rsid w:val="00453678"/>
    <w:rsid w:val="005A7809"/>
    <w:rsid w:val="006178B6"/>
    <w:rsid w:val="00671719"/>
    <w:rsid w:val="00702725"/>
    <w:rsid w:val="007303BE"/>
    <w:rsid w:val="00762BE9"/>
    <w:rsid w:val="00950496"/>
    <w:rsid w:val="00A01695"/>
    <w:rsid w:val="00B1083B"/>
    <w:rsid w:val="00BC7DC3"/>
    <w:rsid w:val="00C46A50"/>
    <w:rsid w:val="00C76599"/>
    <w:rsid w:val="00DE42E9"/>
    <w:rsid w:val="00E40928"/>
    <w:rsid w:val="00E96D1C"/>
    <w:rsid w:val="00EE252A"/>
    <w:rsid w:val="00F42E1C"/>
    <w:rsid w:val="00FD49AB"/>
    <w:rsid w:val="02D276B4"/>
    <w:rsid w:val="0A9A583D"/>
    <w:rsid w:val="0B24469B"/>
    <w:rsid w:val="10EF7E56"/>
    <w:rsid w:val="119105B0"/>
    <w:rsid w:val="1577F6E0"/>
    <w:rsid w:val="1BB75080"/>
    <w:rsid w:val="1C3146FF"/>
    <w:rsid w:val="1C674AF5"/>
    <w:rsid w:val="1DD32428"/>
    <w:rsid w:val="1E081BFA"/>
    <w:rsid w:val="215A77B7"/>
    <w:rsid w:val="22173738"/>
    <w:rsid w:val="22FC5438"/>
    <w:rsid w:val="23BB4212"/>
    <w:rsid w:val="23E42662"/>
    <w:rsid w:val="249A13CA"/>
    <w:rsid w:val="25893F23"/>
    <w:rsid w:val="2A301FFD"/>
    <w:rsid w:val="2AE63D77"/>
    <w:rsid w:val="2B296D9E"/>
    <w:rsid w:val="2C871DA8"/>
    <w:rsid w:val="2F6E643A"/>
    <w:rsid w:val="2FA958C8"/>
    <w:rsid w:val="36F1317A"/>
    <w:rsid w:val="3EAE03F1"/>
    <w:rsid w:val="402C09D0"/>
    <w:rsid w:val="403D52DB"/>
    <w:rsid w:val="444A60CA"/>
    <w:rsid w:val="4C716A38"/>
    <w:rsid w:val="4D5FB0A8"/>
    <w:rsid w:val="4DDF5424"/>
    <w:rsid w:val="4FF9E059"/>
    <w:rsid w:val="511B4BED"/>
    <w:rsid w:val="54292DE5"/>
    <w:rsid w:val="54ED44E0"/>
    <w:rsid w:val="5C663107"/>
    <w:rsid w:val="5CF47D27"/>
    <w:rsid w:val="5D0E0E91"/>
    <w:rsid w:val="5DD20944"/>
    <w:rsid w:val="5EAD096A"/>
    <w:rsid w:val="5EF24B23"/>
    <w:rsid w:val="6247CDD7"/>
    <w:rsid w:val="651053DA"/>
    <w:rsid w:val="67AFE6E4"/>
    <w:rsid w:val="67F72A76"/>
    <w:rsid w:val="67FF961D"/>
    <w:rsid w:val="6EF7BCA7"/>
    <w:rsid w:val="715A543E"/>
    <w:rsid w:val="720624AB"/>
    <w:rsid w:val="732EDBD5"/>
    <w:rsid w:val="74C257D4"/>
    <w:rsid w:val="74FF2AA3"/>
    <w:rsid w:val="77BFB31E"/>
    <w:rsid w:val="79817108"/>
    <w:rsid w:val="79F2467D"/>
    <w:rsid w:val="7BFFE7E5"/>
    <w:rsid w:val="7DB645F1"/>
    <w:rsid w:val="7DEE49C3"/>
    <w:rsid w:val="7DFE6092"/>
    <w:rsid w:val="7E6F6F29"/>
    <w:rsid w:val="7F2FA687"/>
    <w:rsid w:val="7F720EAE"/>
    <w:rsid w:val="7FB7297E"/>
    <w:rsid w:val="7FBF0C34"/>
    <w:rsid w:val="7FBF4BA9"/>
    <w:rsid w:val="7FF3C1F0"/>
    <w:rsid w:val="97AD1AAC"/>
    <w:rsid w:val="9AFE1054"/>
    <w:rsid w:val="9BDE177C"/>
    <w:rsid w:val="B54F0C5F"/>
    <w:rsid w:val="B6CD3423"/>
    <w:rsid w:val="B7F311CD"/>
    <w:rsid w:val="B7FFA4A6"/>
    <w:rsid w:val="CEFF7C90"/>
    <w:rsid w:val="CFFEEB08"/>
    <w:rsid w:val="D2BD90E3"/>
    <w:rsid w:val="D7D938D0"/>
    <w:rsid w:val="D7DF3923"/>
    <w:rsid w:val="D7F7C334"/>
    <w:rsid w:val="D7FF5EC3"/>
    <w:rsid w:val="DA9FC532"/>
    <w:rsid w:val="DAFE477B"/>
    <w:rsid w:val="DCDFE1A3"/>
    <w:rsid w:val="E0C2C13C"/>
    <w:rsid w:val="E2DEBA6A"/>
    <w:rsid w:val="E7DE4678"/>
    <w:rsid w:val="E81FE639"/>
    <w:rsid w:val="EB2C728A"/>
    <w:rsid w:val="EF064C25"/>
    <w:rsid w:val="F54D476D"/>
    <w:rsid w:val="F8D71739"/>
    <w:rsid w:val="FB6E7E95"/>
    <w:rsid w:val="FC73D3DF"/>
    <w:rsid w:val="FF672C83"/>
    <w:rsid w:val="FFDE539A"/>
    <w:rsid w:val="FFDFEC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39" w:semiHidden="0" w:name="toc 2" w:locked="1"/>
    <w:lsdException w:unhideWhenUsed="0" w:uiPriority="0" w:semiHidden="0" w:name="toc 3" w:locked="1"/>
    <w:lsdException w:qFormat="1"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locked/>
    <w:uiPriority w:val="0"/>
    <w:pPr>
      <w:keepNext/>
      <w:keepLines/>
      <w:spacing w:before="340" w:after="330" w:line="578" w:lineRule="auto"/>
      <w:outlineLvl w:val="0"/>
    </w:pPr>
    <w:rPr>
      <w:b/>
      <w:bCs/>
      <w:kern w:val="44"/>
      <w:sz w:val="44"/>
      <w:szCs w:val="44"/>
    </w:rPr>
  </w:style>
  <w:style w:type="paragraph" w:styleId="5">
    <w:name w:val="heading 2"/>
    <w:basedOn w:val="1"/>
    <w:next w:val="1"/>
    <w:qFormat/>
    <w:locked/>
    <w:uiPriority w:val="0"/>
    <w:pPr>
      <w:keepNext w:val="0"/>
      <w:keepLines w:val="0"/>
      <w:overflowPunct w:val="0"/>
      <w:adjustRightInd w:val="0"/>
      <w:snapToGrid w:val="0"/>
      <w:spacing w:beforeLines="0" w:beforeAutospacing="0" w:afterLines="0" w:afterAutospacing="0" w:line="590" w:lineRule="exact"/>
      <w:ind w:firstLine="680" w:firstLineChars="200"/>
      <w:outlineLvl w:val="1"/>
    </w:pPr>
    <w:rPr>
      <w:rFonts w:ascii="Times New Roman" w:hAnsi="Times New Roman" w:eastAsia="方正楷体_GBK"/>
      <w:sz w:val="33"/>
    </w:rPr>
  </w:style>
  <w:style w:type="character" w:default="1" w:styleId="17">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style>
  <w:style w:type="paragraph" w:styleId="3">
    <w:name w:val="Body Text Indent"/>
    <w:basedOn w:val="1"/>
    <w:qFormat/>
    <w:uiPriority w:val="0"/>
    <w:pPr>
      <w:spacing w:after="120"/>
      <w:ind w:left="420" w:leftChars="200"/>
    </w:pPr>
  </w:style>
  <w:style w:type="paragraph" w:styleId="6">
    <w:name w:val="Normal Indent"/>
    <w:basedOn w:val="1"/>
    <w:next w:val="7"/>
    <w:qFormat/>
    <w:uiPriority w:val="0"/>
    <w:pPr>
      <w:ind w:firstLine="420" w:firstLineChars="200"/>
    </w:pPr>
    <w:rPr>
      <w:rFonts w:ascii="Calibri" w:hAnsi="Calibri" w:eastAsia="宋体"/>
    </w:rPr>
  </w:style>
  <w:style w:type="paragraph" w:styleId="7">
    <w:name w:val="toc 4"/>
    <w:basedOn w:val="1"/>
    <w:next w:val="1"/>
    <w:qFormat/>
    <w:locked/>
    <w:uiPriority w:val="0"/>
    <w:pPr>
      <w:ind w:left="1260" w:leftChars="600"/>
    </w:pPr>
    <w:rPr>
      <w:rFonts w:ascii="Times New Roman" w:hAnsi="Times New Roman" w:eastAsia="宋体" w:cs="Times New Roman"/>
    </w:rPr>
  </w:style>
  <w:style w:type="paragraph" w:styleId="8">
    <w:name w:val="Body Text"/>
    <w:basedOn w:val="1"/>
    <w:unhideWhenUsed/>
    <w:qFormat/>
    <w:uiPriority w:val="99"/>
    <w:pPr>
      <w:spacing w:line="360" w:lineRule="auto"/>
      <w:ind w:firstLine="560"/>
    </w:pPr>
  </w:style>
  <w:style w:type="paragraph" w:styleId="9">
    <w:name w:val="Date"/>
    <w:basedOn w:val="1"/>
    <w:next w:val="1"/>
    <w:link w:val="20"/>
    <w:qFormat/>
    <w:uiPriority w:val="99"/>
    <w:pPr>
      <w:ind w:left="100" w:leftChars="2500"/>
    </w:pPr>
  </w:style>
  <w:style w:type="paragraph" w:styleId="10">
    <w:name w:val="footer"/>
    <w:basedOn w:val="1"/>
    <w:next w:val="1"/>
    <w:link w:val="21"/>
    <w:qFormat/>
    <w:uiPriority w:val="99"/>
    <w:pPr>
      <w:tabs>
        <w:tab w:val="center" w:pos="4153"/>
        <w:tab w:val="right" w:pos="8306"/>
      </w:tabs>
      <w:snapToGrid w:val="0"/>
      <w:jc w:val="left"/>
    </w:pPr>
    <w:rPr>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locked/>
    <w:uiPriority w:val="0"/>
  </w:style>
  <w:style w:type="paragraph" w:styleId="13">
    <w:name w:val="toc 2"/>
    <w:basedOn w:val="1"/>
    <w:next w:val="1"/>
    <w:qFormat/>
    <w:locked/>
    <w:uiPriority w:val="39"/>
    <w:pPr>
      <w:tabs>
        <w:tab w:val="right" w:leader="dot" w:pos="8296"/>
      </w:tabs>
      <w:ind w:left="560" w:leftChars="200" w:firstLine="560"/>
    </w:pPr>
  </w:style>
  <w:style w:type="paragraph" w:styleId="1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99"/>
    <w:pPr>
      <w:spacing w:before="100" w:beforeAutospacing="1" w:after="100" w:afterAutospacing="1"/>
    </w:pPr>
    <w:rPr>
      <w:rFonts w:ascii="宋体" w:cs="宋体"/>
      <w:sz w:val="24"/>
      <w:szCs w:val="24"/>
      <w:lang w:val="en-US" w:eastAsia="zh-CN" w:bidi="ar-SA"/>
    </w:rPr>
  </w:style>
  <w:style w:type="character" w:styleId="18">
    <w:name w:val="page number"/>
    <w:basedOn w:val="17"/>
    <w:qFormat/>
    <w:uiPriority w:val="99"/>
    <w:rPr>
      <w:rFonts w:cs="Times New Roman"/>
    </w:rPr>
  </w:style>
  <w:style w:type="character" w:styleId="19">
    <w:name w:val="Hyperlink"/>
    <w:basedOn w:val="17"/>
    <w:qFormat/>
    <w:uiPriority w:val="99"/>
    <w:rPr>
      <w:rFonts w:cs="Times New Roman"/>
      <w:color w:val="0000FF"/>
      <w:u w:val="single"/>
    </w:rPr>
  </w:style>
  <w:style w:type="character" w:customStyle="1" w:styleId="20">
    <w:name w:val="Date Char"/>
    <w:basedOn w:val="17"/>
    <w:link w:val="9"/>
    <w:semiHidden/>
    <w:qFormat/>
    <w:locked/>
    <w:uiPriority w:val="99"/>
    <w:rPr>
      <w:rFonts w:ascii="Times New Roman" w:hAnsi="Times New Roman" w:cs="Times New Roman"/>
      <w:sz w:val="21"/>
      <w:szCs w:val="21"/>
    </w:rPr>
  </w:style>
  <w:style w:type="character" w:customStyle="1" w:styleId="21">
    <w:name w:val="Footer Char"/>
    <w:basedOn w:val="17"/>
    <w:link w:val="10"/>
    <w:semiHidden/>
    <w:qFormat/>
    <w:locked/>
    <w:uiPriority w:val="99"/>
    <w:rPr>
      <w:rFonts w:ascii="Times New Roman" w:hAnsi="Times New Roman" w:cs="Times New Roman"/>
      <w:sz w:val="18"/>
      <w:szCs w:val="18"/>
    </w:rPr>
  </w:style>
  <w:style w:type="character" w:customStyle="1" w:styleId="22">
    <w:name w:val="Header Char"/>
    <w:basedOn w:val="17"/>
    <w:link w:val="11"/>
    <w:semiHidden/>
    <w:qFormat/>
    <w:locked/>
    <w:uiPriority w:val="99"/>
    <w:rPr>
      <w:rFonts w:ascii="Times New Roman" w:hAnsi="Times New Roman" w:cs="Times New Roman"/>
      <w:sz w:val="18"/>
      <w:szCs w:val="18"/>
    </w:rPr>
  </w:style>
  <w:style w:type="paragraph" w:customStyle="1" w:styleId="23">
    <w:name w:val="正文1"/>
    <w:qFormat/>
    <w:uiPriority w:val="0"/>
    <w:pPr>
      <w:jc w:val="center"/>
    </w:pPr>
    <w:rPr>
      <w:rFonts w:ascii="等线" w:hAnsi="等线" w:eastAsia="宋体" w:cs="宋体"/>
      <w:kern w:val="2"/>
      <w:sz w:val="32"/>
      <w:szCs w:val="32"/>
      <w:lang w:val="en-US" w:eastAsia="zh-CN" w:bidi="ar-SA"/>
    </w:rPr>
  </w:style>
  <w:style w:type="paragraph" w:customStyle="1" w:styleId="24">
    <w:name w:val="TOC 标题1"/>
    <w:basedOn w:val="4"/>
    <w:next w:val="1"/>
    <w:unhideWhenUsed/>
    <w:qFormat/>
    <w:uiPriority w:val="39"/>
    <w:pPr>
      <w:widowControl/>
      <w:spacing w:before="240" w:line="259" w:lineRule="auto"/>
      <w:outlineLvl w:val="9"/>
    </w:pPr>
    <w:rPr>
      <w:rFonts w:ascii="Calibri Light" w:hAnsi="Calibri Light"/>
      <w:b w:val="0"/>
      <w:bCs w:val="0"/>
      <w:color w:val="2D54A0"/>
      <w:kern w:val="0"/>
      <w:sz w:val="32"/>
      <w:szCs w:val="32"/>
    </w:rPr>
  </w:style>
  <w:style w:type="paragraph" w:customStyle="1" w:styleId="25">
    <w:name w:val="正文：三号仿宋"/>
    <w:qFormat/>
    <w:uiPriority w:val="0"/>
    <w:pPr>
      <w:widowControl w:val="0"/>
      <w:ind w:firstLine="200" w:firstLineChars="200"/>
      <w:jc w:val="both"/>
    </w:pPr>
    <w:rPr>
      <w:rFonts w:ascii="等线" w:hAnsi="等线"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18</Pages>
  <Words>7087</Words>
  <Characters>7111</Characters>
  <Lines>0</Lines>
  <Paragraphs>0</Paragraphs>
  <TotalTime>2</TotalTime>
  <ScaleCrop>false</ScaleCrop>
  <LinksUpToDate>false</LinksUpToDate>
  <CharactersWithSpaces>7191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2021-05-28T03:41:00Z</dcterms:created>
  <dc:creator>rd</dc:creator>
  <cp:lastModifiedBy>kylin</cp:lastModifiedBy>
  <cp:lastPrinted>2023-10-16T17:18:00Z</cp:lastPrinted>
  <dcterms:modified xsi:type="dcterms:W3CDTF">2024-09-04T11:49:38Z</dcterms:modified>
  <dc:title>广安市人大常委会办公室</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SaveFontToCloudKey">
    <vt:lpwstr>272521565_btnclosed</vt:lpwstr>
  </property>
  <property fmtid="{D5CDD505-2E9C-101B-9397-08002B2CF9AE}" pid="4" name="ICV">
    <vt:lpwstr>F6119BCFAE094806A92F1664120E9086_13</vt:lpwstr>
  </property>
</Properties>
</file>